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hint="eastAsia"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关于加强物业专项维修资金归集工作的通知</w:t>
      </w:r>
    </w:p>
    <w:p>
      <w:pPr>
        <w:spacing w:line="360" w:lineRule="auto"/>
        <w:jc w:val="center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（征求意见稿）</w:t>
      </w:r>
    </w:p>
    <w:p>
      <w:pPr>
        <w:spacing w:line="360" w:lineRule="auto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360" w:lineRule="auto"/>
        <w:rPr>
          <w:rFonts w:ascii="仿宋" w:hAnsi="仿宋" w:eastAsia="仿宋"/>
          <w:b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</w:rPr>
        <w:t>各区、县(市)房产（建设、更新）局、开发建设单位及相关单位：</w:t>
      </w:r>
    </w:p>
    <w:p>
      <w:pPr>
        <w:spacing w:line="360" w:lineRule="auto"/>
        <w:ind w:firstLine="640" w:firstLineChars="200"/>
        <w:rPr>
          <w:rFonts w:ascii="仿宋" w:hAnsi="仿宋" w:eastAsia="仿宋"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</w:rPr>
        <w:t>为进一步加强我市物业专项维修资金（以下简称维修资金）归集工作，确保房屋交付前维修资金归集到位，保障保修期后共用部位、共用设施设备的维修、更新、改造和正常使用，维护维修资金所有者的合法权益，依据《住宅专项维修资金管理办法》（建设部、财政部令第</w:t>
      </w:r>
      <w:r>
        <w:rPr>
          <w:rFonts w:ascii="仿宋" w:hAnsi="仿宋" w:eastAsia="仿宋"/>
          <w:color w:val="000000" w:themeColor="text1"/>
          <w:sz w:val="32"/>
          <w:szCs w:val="32"/>
        </w:rPr>
        <w:t>165号）</w:t>
      </w:r>
      <w:r>
        <w:rPr>
          <w:rFonts w:hint="eastAsia" w:ascii="仿宋" w:hAnsi="仿宋" w:eastAsia="仿宋"/>
          <w:color w:val="000000" w:themeColor="text1"/>
          <w:sz w:val="32"/>
          <w:szCs w:val="32"/>
        </w:rPr>
        <w:t>、《沈阳市物业专项维修资金管理办法》（沈阳市人民政府第53号令</w:t>
      </w:r>
      <w:r>
        <w:rPr>
          <w:rFonts w:ascii="仿宋" w:hAnsi="仿宋" w:eastAsia="仿宋"/>
          <w:color w:val="000000" w:themeColor="text1"/>
          <w:sz w:val="32"/>
          <w:szCs w:val="32"/>
        </w:rPr>
        <w:t>）</w:t>
      </w:r>
      <w:r>
        <w:rPr>
          <w:rFonts w:hint="eastAsia" w:ascii="仿宋" w:hAnsi="仿宋" w:eastAsia="仿宋"/>
          <w:color w:val="000000" w:themeColor="text1"/>
          <w:sz w:val="32"/>
          <w:szCs w:val="32"/>
        </w:rPr>
        <w:t>等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</w:rPr>
        <w:t>法律、法规规定</w:t>
      </w:r>
      <w:r>
        <w:rPr>
          <w:rFonts w:ascii="仿宋" w:hAnsi="仿宋" w:eastAsia="仿宋"/>
          <w:color w:val="000000" w:themeColor="text1"/>
          <w:sz w:val="32"/>
          <w:szCs w:val="32"/>
        </w:rPr>
        <w:t>，</w:t>
      </w:r>
      <w:r>
        <w:rPr>
          <w:rFonts w:hint="eastAsia" w:ascii="仿宋" w:hAnsi="仿宋" w:eastAsia="仿宋"/>
          <w:color w:val="000000" w:themeColor="text1"/>
          <w:sz w:val="32"/>
          <w:szCs w:val="32"/>
        </w:rPr>
        <w:t>结合我市实际，</w:t>
      </w:r>
      <w:r>
        <w:rPr>
          <w:rFonts w:ascii="仿宋" w:hAnsi="仿宋" w:eastAsia="仿宋"/>
          <w:color w:val="000000" w:themeColor="text1"/>
          <w:sz w:val="32"/>
          <w:szCs w:val="32"/>
        </w:rPr>
        <w:t>现</w:t>
      </w:r>
      <w:r>
        <w:rPr>
          <w:rFonts w:hint="eastAsia" w:ascii="仿宋" w:hAnsi="仿宋" w:eastAsia="仿宋"/>
          <w:color w:val="000000" w:themeColor="text1"/>
          <w:sz w:val="32"/>
          <w:szCs w:val="32"/>
        </w:rPr>
        <w:t>将有关事项通知</w:t>
      </w:r>
      <w:r>
        <w:rPr>
          <w:rFonts w:ascii="仿宋" w:hAnsi="仿宋" w:eastAsia="仿宋"/>
          <w:color w:val="000000" w:themeColor="text1"/>
          <w:sz w:val="32"/>
          <w:szCs w:val="32"/>
        </w:rPr>
        <w:t>如下：</w:t>
      </w:r>
    </w:p>
    <w:p>
      <w:pPr>
        <w:spacing w:line="360" w:lineRule="auto"/>
        <w:ind w:firstLine="640" w:firstLineChars="200"/>
        <w:rPr>
          <w:rFonts w:ascii="仿宋" w:hAnsi="仿宋" w:eastAsia="仿宋"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</w:rPr>
        <w:t>一、商品房购房人应当在办理房屋入住手续前，将所购房屋的维修资金存入市房产局维修资金专户银行，未按规定交存维修资金的，开发建设单位不得将房屋交付购房人。</w:t>
      </w:r>
    </w:p>
    <w:p>
      <w:pPr>
        <w:spacing w:line="360" w:lineRule="auto"/>
        <w:ind w:firstLine="640" w:firstLineChars="200"/>
        <w:rPr>
          <w:rFonts w:ascii="仿宋" w:hAnsi="仿宋" w:eastAsia="仿宋"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</w:rPr>
        <w:t>二、开发建设单位在房屋交付前，按照以下程序办理：</w:t>
      </w:r>
    </w:p>
    <w:p>
      <w:pPr>
        <w:spacing w:line="360" w:lineRule="auto"/>
        <w:ind w:firstLine="480" w:firstLineChars="150"/>
        <w:rPr>
          <w:rFonts w:ascii="仿宋" w:hAnsi="仿宋" w:eastAsia="仿宋"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</w:rPr>
        <w:t>（一）开发建设单位依据《沈阳市房产局关于规范物业专项维修资金系统权限有关事宜的通知》（沈房发[2017]36号）要求，向区房产主管部门申请维修资金管理系统相关权限，再向购房人开具《沈阳市物业专项维修资金交款通知单》，并告知购房人在办理房屋交付手续前，必须足额将维修资金交存至维修资金专户银行。</w:t>
      </w:r>
    </w:p>
    <w:p>
      <w:pPr>
        <w:spacing w:line="360" w:lineRule="auto"/>
        <w:ind w:firstLine="480" w:firstLineChars="150"/>
        <w:rPr>
          <w:rFonts w:ascii="仿宋" w:hAnsi="仿宋" w:eastAsia="仿宋"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</w:rPr>
        <w:t>（二）购房人持本人身份证、交款通知单和已备案的《商品房买卖合同》，到维修资金专户银行交款。专户银行核对收款，向购房人开具《辽宁省住宅专项维修资金专用收据》。</w:t>
      </w:r>
    </w:p>
    <w:p>
      <w:pPr>
        <w:spacing w:line="360" w:lineRule="auto"/>
        <w:ind w:firstLine="480" w:firstLineChars="150"/>
        <w:rPr>
          <w:rFonts w:ascii="仿宋" w:hAnsi="仿宋" w:eastAsia="仿宋"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</w:rPr>
        <w:t>（三）购房人持《辽宁省住宅专项维修资金专用收据》（第三联）或电子收据及其复印件到开发建设单位办理入住手续。</w:t>
      </w:r>
    </w:p>
    <w:p>
      <w:pPr>
        <w:ind w:firstLine="480" w:firstLineChars="150"/>
        <w:rPr>
          <w:rFonts w:ascii="仿宋" w:hAnsi="仿宋" w:eastAsia="仿宋"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</w:rPr>
        <w:t>（四）开发建设单位查验收据原件，将收据复印件登记归档，建立管理台账，同时将已办理入住信息录入维修资金管理系统。</w:t>
      </w:r>
    </w:p>
    <w:p>
      <w:pPr>
        <w:ind w:firstLine="640" w:firstLineChars="200"/>
        <w:rPr>
          <w:rFonts w:ascii="仿宋" w:hAnsi="仿宋" w:eastAsia="仿宋"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</w:rPr>
        <w:t>三、开发建设单位在预（销）售新建房屋时，须在售楼现场张贴应交存维修资金的政策法规，签订《商品房买卖合同》补充协议中依法约定由购房人全额交存维修资金。因购房人未按时足额交存维修资金导致商品房交付使用纠纷的，由购房人承担相关责任。</w:t>
      </w:r>
    </w:p>
    <w:p>
      <w:pPr>
        <w:spacing w:line="360" w:lineRule="auto"/>
        <w:ind w:firstLine="640" w:firstLineChars="200"/>
        <w:rPr>
          <w:rFonts w:ascii="仿宋" w:hAnsi="仿宋" w:eastAsia="仿宋"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</w:rPr>
        <w:t>四、维修资金应由购房人直接交存维修资金专户银行，开发建设单位或其他单位不得代收代缴。</w:t>
      </w:r>
    </w:p>
    <w:p>
      <w:pPr>
        <w:spacing w:line="360" w:lineRule="auto"/>
        <w:ind w:firstLine="640" w:firstLineChars="200"/>
        <w:rPr>
          <w:rFonts w:ascii="仿宋" w:hAnsi="仿宋" w:eastAsia="仿宋"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bCs/>
          <w:color w:val="000000" w:themeColor="text1"/>
          <w:sz w:val="32"/>
          <w:szCs w:val="32"/>
        </w:rPr>
        <w:t>五、</w:t>
      </w:r>
      <w:r>
        <w:rPr>
          <w:rFonts w:hint="eastAsia" w:ascii="仿宋" w:hAnsi="仿宋" w:eastAsia="仿宋"/>
          <w:color w:val="000000" w:themeColor="text1"/>
          <w:sz w:val="32"/>
          <w:szCs w:val="32"/>
        </w:rPr>
        <w:t>开发建设单位违反本通知规定，向未交存维修资金购房人交付房屋的，责令限期改正，逾期未改正的，依据《住宅专项维修资金管理办法》（建设部令第</w:t>
      </w:r>
      <w:r>
        <w:rPr>
          <w:rFonts w:ascii="仿宋" w:hAnsi="仿宋" w:eastAsia="仿宋"/>
          <w:color w:val="000000" w:themeColor="text1"/>
          <w:sz w:val="32"/>
          <w:szCs w:val="32"/>
        </w:rPr>
        <w:t>165号）第三十六条予以处罚</w:t>
      </w:r>
      <w:r>
        <w:rPr>
          <w:rFonts w:hint="eastAsia" w:ascii="仿宋" w:hAnsi="仿宋" w:eastAsia="仿宋"/>
          <w:color w:val="000000" w:themeColor="text1"/>
          <w:sz w:val="32"/>
          <w:szCs w:val="32"/>
        </w:rPr>
        <w:t>,按照相关规定列入诚信考核记录。</w:t>
      </w:r>
    </w:p>
    <w:p>
      <w:pPr>
        <w:spacing w:line="360" w:lineRule="auto"/>
        <w:ind w:firstLine="640" w:firstLineChars="200"/>
        <w:rPr>
          <w:rFonts w:ascii="仿宋" w:hAnsi="仿宋" w:eastAsia="仿宋"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</w:rPr>
        <w:t>市、区房产主管部门应当加强</w:t>
      </w:r>
      <w:r>
        <w:rPr>
          <w:rFonts w:hint="eastAsia" w:ascii="仿宋" w:hAnsi="仿宋" w:eastAsia="仿宋"/>
          <w:bCs/>
          <w:color w:val="000000" w:themeColor="text1"/>
          <w:sz w:val="32"/>
          <w:szCs w:val="32"/>
        </w:rPr>
        <w:t>维修资金归集的监督和</w:t>
      </w:r>
      <w:r>
        <w:rPr>
          <w:rFonts w:hint="eastAsia" w:ascii="仿宋" w:hAnsi="仿宋" w:eastAsia="仿宋"/>
          <w:color w:val="000000" w:themeColor="text1"/>
          <w:sz w:val="32"/>
          <w:szCs w:val="32"/>
        </w:rPr>
        <w:t>管理</w:t>
      </w:r>
      <w:r>
        <w:rPr>
          <w:rFonts w:hint="eastAsia" w:ascii="仿宋" w:hAnsi="仿宋" w:eastAsia="仿宋"/>
          <w:color w:val="000000" w:themeColor="text1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</w:rPr>
        <w:t>购房人未按规定交存维修资金，开发建设单位违规将房屋交付给购房人的，</w:t>
      </w:r>
      <w:r>
        <w:rPr>
          <w:rFonts w:hint="eastAsia" w:ascii="仿宋" w:hAnsi="仿宋" w:eastAsia="仿宋"/>
          <w:color w:val="000000" w:themeColor="text1"/>
          <w:sz w:val="32"/>
          <w:szCs w:val="32"/>
        </w:rPr>
        <w:t>依法依规严肃处理，确保维修资金归集到位。</w:t>
      </w:r>
    </w:p>
    <w:p>
      <w:pPr>
        <w:spacing w:line="360" w:lineRule="auto"/>
        <w:ind w:firstLine="640" w:firstLineChars="200"/>
        <w:rPr>
          <w:rFonts w:ascii="仿宋" w:hAnsi="仿宋" w:eastAsia="仿宋"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</w:rPr>
        <w:t>六、业主未按规定或者业主大会决议交存、续交维修资金，或者拒不分摊维修、更新、改造及增设费用的，按照《沈阳市物业专项维修资金管理办法》（沈阳市人民政府令第53号）等相关规定，业主委员会或者利害关系人可以向人民法院提起诉讼。</w:t>
      </w:r>
    </w:p>
    <w:p>
      <w:pPr>
        <w:spacing w:line="360" w:lineRule="auto"/>
        <w:ind w:firstLine="640" w:firstLineChars="200"/>
        <w:rPr>
          <w:rFonts w:ascii="仿宋" w:hAnsi="仿宋" w:eastAsia="仿宋"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</w:rPr>
        <w:t>七、各区、县（市）维修资金由所在地人民政府房产主管部门自行管理的，可以参照本通知执行。</w:t>
      </w:r>
    </w:p>
    <w:p>
      <w:pPr>
        <w:spacing w:line="360" w:lineRule="auto"/>
        <w:ind w:firstLine="640" w:firstLineChars="200"/>
        <w:rPr>
          <w:rFonts w:ascii="仿宋" w:hAnsi="仿宋" w:eastAsia="仿宋"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</w:rPr>
        <w:t>本通知自</w:t>
      </w:r>
      <w:r>
        <w:rPr>
          <w:rFonts w:hint="eastAsia" w:ascii="仿宋" w:hAnsi="仿宋" w:eastAsia="仿宋"/>
          <w:color w:val="000000" w:themeColor="text1"/>
          <w:sz w:val="32"/>
          <w:szCs w:val="32"/>
          <w:lang w:eastAsia="zh-CN"/>
        </w:rPr>
        <w:t>公布</w:t>
      </w:r>
      <w:r>
        <w:rPr>
          <w:rFonts w:hint="eastAsia" w:ascii="仿宋" w:hAnsi="仿宋" w:eastAsia="仿宋"/>
          <w:color w:val="000000" w:themeColor="text1"/>
          <w:sz w:val="32"/>
          <w:szCs w:val="32"/>
        </w:rPr>
        <w:t>之日起30日后</w:t>
      </w:r>
      <w:r>
        <w:rPr>
          <w:rFonts w:hint="eastAsia" w:ascii="仿宋" w:hAnsi="仿宋" w:eastAsia="仿宋"/>
          <w:color w:val="000000" w:themeColor="text1"/>
          <w:sz w:val="32"/>
          <w:szCs w:val="32"/>
          <w:lang w:eastAsia="zh-CN"/>
        </w:rPr>
        <w:t>施</w:t>
      </w:r>
      <w:r>
        <w:rPr>
          <w:rFonts w:hint="eastAsia" w:ascii="仿宋" w:hAnsi="仿宋" w:eastAsia="仿宋"/>
          <w:color w:val="000000" w:themeColor="text1"/>
          <w:sz w:val="32"/>
          <w:szCs w:val="32"/>
        </w:rPr>
        <w:t>行。</w:t>
      </w:r>
    </w:p>
    <w:p>
      <w:pPr>
        <w:ind w:firstLine="640" w:firstLineChars="200"/>
        <w:rPr>
          <w:rFonts w:ascii="仿宋" w:hAnsi="仿宋" w:eastAsia="仿宋"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</w:rPr>
        <w:t>附件：1.</w:t>
      </w:r>
      <w:r>
        <w:rPr>
          <w:rFonts w:hint="eastAsia" w:ascii="仿宋" w:hAnsi="仿宋" w:eastAsia="仿宋" w:cs="Times New Roman"/>
          <w:color w:val="000000" w:themeColor="text1"/>
          <w:kern w:val="0"/>
          <w:sz w:val="32"/>
          <w:szCs w:val="32"/>
        </w:rPr>
        <w:t>关于归集首期物业专项维修资金告知书</w:t>
      </w:r>
    </w:p>
    <w:p>
      <w:pPr>
        <w:spacing w:line="360" w:lineRule="auto"/>
        <w:ind w:firstLine="1600" w:firstLineChars="500"/>
        <w:rPr>
          <w:rFonts w:ascii="仿宋" w:hAnsi="仿宋" w:eastAsia="仿宋"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</w:rPr>
        <w:t>2.交存维修资金办理程序流程图</w:t>
      </w:r>
    </w:p>
    <w:p>
      <w:pPr>
        <w:ind w:left="1916" w:leftChars="760" w:hanging="320" w:hangingChars="100"/>
        <w:rPr>
          <w:rFonts w:ascii="仿宋" w:hAnsi="仿宋" w:eastAsia="仿宋" w:cs="黑体"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</w:rPr>
        <w:t>3.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</w:rPr>
        <w:t>登录</w:t>
      </w:r>
      <w:r>
        <w:rPr>
          <w:rFonts w:hint="eastAsia" w:ascii="仿宋" w:hAnsi="仿宋" w:eastAsia="仿宋" w:cs="黑体"/>
          <w:color w:val="000000" w:themeColor="text1"/>
          <w:sz w:val="32"/>
          <w:szCs w:val="32"/>
        </w:rPr>
        <w:t>维修资金管理系统录入房屋已交付信息操作说明</w:t>
      </w:r>
    </w:p>
    <w:p>
      <w:pPr>
        <w:spacing w:line="360" w:lineRule="auto"/>
        <w:ind w:left="1916" w:leftChars="760" w:hanging="320" w:hangingChars="100"/>
        <w:rPr>
          <w:rFonts w:ascii="仿宋" w:hAnsi="仿宋" w:eastAsia="仿宋"/>
          <w:b/>
          <w:bCs/>
          <w:color w:val="000000" w:themeColor="text1"/>
          <w:sz w:val="32"/>
          <w:szCs w:val="32"/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</w:rPr>
        <w:t>4.</w:t>
      </w:r>
      <w:r>
        <w:rPr>
          <w:rFonts w:hint="eastAsia" w:ascii="仿宋" w:hAnsi="仿宋" w:eastAsia="仿宋" w:cstheme="majorEastAsia"/>
          <w:color w:val="000000" w:themeColor="text1"/>
          <w:sz w:val="32"/>
          <w:szCs w:val="32"/>
        </w:rPr>
        <w:t>物业专项维修资金政策宣传单</w:t>
      </w:r>
    </w:p>
    <w:p>
      <w:pPr>
        <w:spacing w:line="360" w:lineRule="auto"/>
        <w:ind w:firstLine="643" w:firstLineChars="200"/>
        <w:jc w:val="left"/>
        <w:rPr>
          <w:rFonts w:ascii="仿宋" w:hAnsi="仿宋" w:eastAsia="仿宋"/>
          <w:b/>
          <w:sz w:val="32"/>
          <w:szCs w:val="32"/>
        </w:rPr>
      </w:pPr>
    </w:p>
    <w:p>
      <w:pPr>
        <w:spacing w:line="360" w:lineRule="auto"/>
        <w:ind w:firstLine="643" w:firstLineChars="200"/>
        <w:jc w:val="left"/>
        <w:rPr>
          <w:rFonts w:ascii="仿宋" w:hAnsi="仿宋" w:eastAsia="仿宋"/>
          <w:b/>
          <w:sz w:val="32"/>
          <w:szCs w:val="32"/>
        </w:rPr>
      </w:pPr>
    </w:p>
    <w:p>
      <w:pPr>
        <w:spacing w:line="360" w:lineRule="auto"/>
        <w:ind w:firstLine="643" w:firstLineChars="200"/>
        <w:jc w:val="left"/>
        <w:rPr>
          <w:rFonts w:ascii="仿宋" w:hAnsi="仿宋" w:eastAsia="仿宋"/>
          <w:b/>
          <w:sz w:val="32"/>
          <w:szCs w:val="32"/>
        </w:rPr>
      </w:pPr>
    </w:p>
    <w:p>
      <w:pPr>
        <w:spacing w:line="360" w:lineRule="auto"/>
        <w:ind w:firstLine="643" w:firstLineChars="200"/>
        <w:jc w:val="left"/>
        <w:rPr>
          <w:rFonts w:ascii="仿宋" w:hAnsi="仿宋" w:eastAsia="仿宋"/>
          <w:b/>
          <w:sz w:val="32"/>
          <w:szCs w:val="32"/>
        </w:rPr>
      </w:pPr>
    </w:p>
    <w:p>
      <w:pPr>
        <w:spacing w:line="360" w:lineRule="auto"/>
        <w:ind w:firstLine="4661" w:firstLineChars="1451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 xml:space="preserve"> 沈阳市房产局</w:t>
      </w:r>
    </w:p>
    <w:p>
      <w:pPr>
        <w:spacing w:line="360" w:lineRule="auto"/>
        <w:ind w:firstLine="4822" w:firstLineChars="1501"/>
        <w:jc w:val="left"/>
        <w:rPr>
          <w:rFonts w:hint="eastAsia"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2023年</w:t>
      </w:r>
      <w:r>
        <w:rPr>
          <w:rFonts w:hint="eastAsia" w:ascii="仿宋" w:hAnsi="仿宋" w:eastAsia="仿宋"/>
          <w:b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/>
          <w:b/>
          <w:sz w:val="32"/>
          <w:szCs w:val="32"/>
        </w:rPr>
        <w:t>月</w:t>
      </w:r>
      <w:r>
        <w:rPr>
          <w:rFonts w:hint="eastAsia" w:ascii="仿宋" w:hAnsi="仿宋" w:eastAsia="仿宋"/>
          <w:b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/>
          <w:b/>
          <w:sz w:val="32"/>
          <w:szCs w:val="32"/>
        </w:rPr>
        <w:t>日</w:t>
      </w:r>
    </w:p>
    <w:p>
      <w:pPr>
        <w:spacing w:line="360" w:lineRule="auto"/>
        <w:ind w:firstLine="4822" w:firstLineChars="1501"/>
        <w:jc w:val="left"/>
        <w:rPr>
          <w:rFonts w:hint="eastAsia" w:ascii="仿宋" w:hAnsi="仿宋" w:eastAsia="仿宋"/>
          <w:b/>
          <w:sz w:val="32"/>
          <w:szCs w:val="32"/>
        </w:rPr>
      </w:pPr>
    </w:p>
    <w:p>
      <w:pPr>
        <w:spacing w:line="360" w:lineRule="auto"/>
        <w:ind w:firstLine="4822" w:firstLineChars="1501"/>
        <w:jc w:val="left"/>
        <w:rPr>
          <w:rFonts w:hint="eastAsia" w:ascii="仿宋" w:hAnsi="仿宋" w:eastAsia="仿宋"/>
          <w:b/>
          <w:sz w:val="32"/>
          <w:szCs w:val="32"/>
        </w:rPr>
      </w:pPr>
    </w:p>
    <w:p>
      <w:pPr>
        <w:spacing w:line="360" w:lineRule="auto"/>
        <w:ind w:firstLine="4822" w:firstLineChars="1501"/>
        <w:jc w:val="left"/>
        <w:rPr>
          <w:rFonts w:hint="eastAsia" w:ascii="仿宋" w:hAnsi="仿宋" w:eastAsia="仿宋"/>
          <w:b/>
          <w:sz w:val="32"/>
          <w:szCs w:val="32"/>
        </w:rPr>
      </w:pPr>
    </w:p>
    <w:p>
      <w:pPr>
        <w:spacing w:line="360" w:lineRule="auto"/>
        <w:ind w:firstLine="4822" w:firstLineChars="1501"/>
        <w:jc w:val="left"/>
        <w:rPr>
          <w:rFonts w:hint="eastAsia" w:ascii="仿宋" w:hAnsi="仿宋" w:eastAsia="仿宋"/>
          <w:b/>
          <w:sz w:val="32"/>
          <w:szCs w:val="32"/>
        </w:rPr>
      </w:pPr>
    </w:p>
    <w:p>
      <w:pPr>
        <w:jc w:val="left"/>
        <w:rPr>
          <w:rFonts w:ascii="仿宋" w:hAnsi="仿宋" w:eastAsia="仿宋" w:cs="仿宋"/>
          <w:bCs/>
          <w:sz w:val="32"/>
          <w:szCs w:val="32"/>
        </w:rPr>
      </w:pPr>
      <w:r>
        <w:rPr>
          <w:rFonts w:hint="eastAsia" w:ascii="仿宋" w:hAnsi="仿宋" w:eastAsia="仿宋" w:cs="仿宋"/>
          <w:bCs/>
          <w:sz w:val="32"/>
          <w:szCs w:val="32"/>
        </w:rPr>
        <w:t>附件一:</w:t>
      </w:r>
    </w:p>
    <w:p>
      <w:pPr>
        <w:jc w:val="center"/>
        <w:rPr>
          <w:rFonts w:ascii="宋体" w:hAnsi="宋体" w:eastAsia="宋体" w:cs="黑体"/>
          <w:b/>
          <w:sz w:val="44"/>
          <w:szCs w:val="44"/>
        </w:rPr>
      </w:pPr>
      <w:r>
        <w:rPr>
          <w:rFonts w:hint="eastAsia" w:ascii="宋体" w:hAnsi="宋体" w:eastAsia="宋体" w:cs="黑体"/>
          <w:b/>
          <w:sz w:val="44"/>
          <w:szCs w:val="44"/>
        </w:rPr>
        <w:t>关于归集首期物业</w:t>
      </w:r>
      <w:r>
        <w:rPr>
          <w:rFonts w:hint="eastAsia" w:ascii="宋体" w:hAnsi="宋体" w:eastAsia="宋体"/>
          <w:b/>
          <w:sz w:val="44"/>
          <w:szCs w:val="44"/>
        </w:rPr>
        <w:t>专项维修资金告知</w:t>
      </w:r>
      <w:r>
        <w:rPr>
          <w:rFonts w:hint="eastAsia" w:ascii="宋体" w:hAnsi="宋体" w:eastAsia="宋体" w:cs="黑体"/>
          <w:b/>
          <w:sz w:val="44"/>
          <w:szCs w:val="44"/>
        </w:rPr>
        <w:t>书</w:t>
      </w:r>
    </w:p>
    <w:p>
      <w:pPr>
        <w:jc w:val="left"/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各开发建设单位：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根据《关于加强物业专项维修资金归集工作的通知》）等相关规定，开发建设单位在办理房屋交付手续前，应当配合市房产局做好首期物业专项维修资金归集工作。现将有关事项告知如下：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一、认真宣传贯彻执行《关于加强物业专项维修资金归集工作的通知》）等相关政策。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二、在购房人办理房屋交付手续前，书面告知购房人持身份证、交款通知单、商品房买卖合同（已备案）自行到专户银行，交存首期物业专项维修资金。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三、在显著位置将首期物业专项维修资金交存程序、要件、时限、交存地点等情况予以公示。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四、依据购房人已交存首期物业专项维修资金凭证（即《辽宁省住宅专项维修资金专用收据》），为购房人办理入住手续。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五、办理房屋交付手续时，要查验收据原件或电子收据，将复印件登记归档和建立管理台账,并将房屋已交付购房人信息录入维修资金管理系统。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六、不得以任何理由、任何方式代收购房人首期物业专项维修资金。</w:t>
      </w:r>
    </w:p>
    <w:p>
      <w:pPr>
        <w:ind w:firstLine="5140" w:firstLineChars="1600"/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沈阳市房产局</w:t>
      </w:r>
    </w:p>
    <w:p>
      <w:pPr>
        <w:jc w:val="left"/>
        <w:rPr>
          <w:rFonts w:hint="eastAsia" w:ascii="黑体" w:hAnsi="黑体" w:eastAsia="黑体" w:cs="黑体"/>
          <w:sz w:val="44"/>
          <w:szCs w:val="44"/>
          <w:lang w:eastAsia="zh-CN"/>
        </w:rPr>
      </w:pPr>
      <w:r>
        <w:rPr>
          <w:rFonts w:hint="eastAsia" w:eastAsia="黑体"/>
          <w:lang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-1594485</wp:posOffset>
            </wp:positionH>
            <wp:positionV relativeFrom="paragraph">
              <wp:posOffset>2394585</wp:posOffset>
            </wp:positionV>
            <wp:extent cx="8169910" cy="4114165"/>
            <wp:effectExtent l="0" t="0" r="0" b="0"/>
            <wp:wrapTight wrapText="bothSides">
              <wp:wrapPolygon>
                <wp:start x="505" y="15699"/>
                <wp:lineTo x="2117" y="15799"/>
                <wp:lineTo x="2369" y="20100"/>
                <wp:lineTo x="2470" y="20800"/>
                <wp:lineTo x="6499" y="20800"/>
                <wp:lineTo x="6952" y="19800"/>
                <wp:lineTo x="6952" y="19000"/>
                <wp:lineTo x="7758" y="19000"/>
                <wp:lineTo x="8564" y="20500"/>
                <wp:lineTo x="18133" y="20600"/>
                <wp:lineTo x="18234" y="20400"/>
                <wp:lineTo x="18234" y="19100"/>
                <wp:lineTo x="19644" y="19000"/>
                <wp:lineTo x="19846" y="15799"/>
                <wp:lineTo x="19846" y="7498"/>
                <wp:lineTo x="21155" y="7398"/>
                <wp:lineTo x="21155" y="4797"/>
                <wp:lineTo x="18234" y="4397"/>
                <wp:lineTo x="17579" y="3497"/>
                <wp:lineTo x="17428" y="1897"/>
                <wp:lineTo x="17076" y="797"/>
                <wp:lineTo x="13903" y="697"/>
                <wp:lineTo x="13751" y="1197"/>
                <wp:lineTo x="13399" y="3497"/>
                <wp:lineTo x="12593" y="3997"/>
                <wp:lineTo x="6751" y="3797"/>
                <wp:lineTo x="6549" y="4297"/>
                <wp:lineTo x="6146" y="5898"/>
                <wp:lineTo x="6146" y="5097"/>
                <wp:lineTo x="5794" y="4597"/>
                <wp:lineTo x="3225" y="4597"/>
                <wp:lineTo x="2973" y="4897"/>
                <wp:lineTo x="2923" y="5898"/>
                <wp:lineTo x="2470" y="5698"/>
                <wp:lineTo x="2318" y="6098"/>
                <wp:lineTo x="2117" y="8598"/>
                <wp:lineTo x="505" y="8598"/>
                <wp:lineTo x="505" y="15699"/>
              </wp:wrapPolygon>
            </wp:wrapTight>
            <wp:docPr id="1" name="图片 1" descr="合(7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合(7)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169910" cy="41141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 w:cs="仿宋"/>
          <w:sz w:val="32"/>
          <w:szCs w:val="32"/>
        </w:rPr>
        <w:t>附件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二：</w:t>
      </w:r>
      <w:r>
        <w:rPr>
          <w:rFonts w:hint="eastAsia" w:ascii="仿宋" w:hAnsi="仿宋" w:eastAsia="仿宋" w:cs="仿宋"/>
          <w:b/>
          <w:sz w:val="32"/>
          <w:szCs w:val="32"/>
        </w:rPr>
        <w:t xml:space="preserve">  </w:t>
      </w:r>
      <w:r>
        <w:rPr>
          <w:rFonts w:hint="eastAsia" w:ascii="黑体" w:hAnsi="黑体" w:eastAsia="黑体" w:cs="黑体"/>
          <w:sz w:val="44"/>
          <w:szCs w:val="44"/>
        </w:rPr>
        <w:t>交存维修资金办理程序</w:t>
      </w:r>
      <w:r>
        <w:rPr>
          <w:rFonts w:hint="eastAsia" w:ascii="黑体" w:hAnsi="黑体" w:eastAsia="黑体" w:cs="黑体"/>
          <w:sz w:val="44"/>
          <w:szCs w:val="44"/>
          <w:lang w:eastAsia="zh-CN"/>
        </w:rPr>
        <w:t>流程图</w:t>
      </w:r>
    </w:p>
    <w:p>
      <w:pPr>
        <w:jc w:val="left"/>
        <w:rPr>
          <w:rFonts w:hint="eastAsia" w:ascii="黑体" w:hAnsi="黑体" w:eastAsia="黑体" w:cs="黑体"/>
          <w:sz w:val="44"/>
          <w:szCs w:val="44"/>
          <w:lang w:eastAsia="zh-CN"/>
        </w:rPr>
      </w:pPr>
    </w:p>
    <w:p>
      <w:pPr>
        <w:jc w:val="left"/>
        <w:rPr>
          <w:rFonts w:hint="eastAsia" w:ascii="黑体" w:hAnsi="黑体" w:eastAsia="黑体" w:cs="黑体"/>
          <w:sz w:val="44"/>
          <w:szCs w:val="44"/>
          <w:lang w:eastAsia="zh-CN"/>
        </w:rPr>
      </w:pPr>
    </w:p>
    <w:p>
      <w:pPr>
        <w:jc w:val="left"/>
        <w:rPr>
          <w:rFonts w:hint="eastAsia" w:ascii="黑体" w:hAnsi="黑体" w:eastAsia="黑体" w:cs="黑体"/>
          <w:sz w:val="44"/>
          <w:szCs w:val="44"/>
          <w:lang w:eastAsia="zh-CN"/>
        </w:rPr>
      </w:pPr>
    </w:p>
    <w:p>
      <w:pPr>
        <w:jc w:val="left"/>
        <w:rPr>
          <w:rFonts w:hint="eastAsia" w:ascii="黑体" w:hAnsi="黑体" w:eastAsia="黑体" w:cs="黑体"/>
          <w:sz w:val="44"/>
          <w:szCs w:val="44"/>
          <w:lang w:eastAsia="zh-CN"/>
        </w:rPr>
      </w:pPr>
    </w:p>
    <w:p>
      <w:pPr>
        <w:jc w:val="left"/>
        <w:rPr>
          <w:rFonts w:hint="eastAsia" w:ascii="黑体" w:hAnsi="黑体" w:eastAsia="黑体" w:cs="黑体"/>
          <w:sz w:val="44"/>
          <w:szCs w:val="44"/>
          <w:lang w:eastAsia="zh-CN"/>
        </w:rPr>
      </w:pPr>
    </w:p>
    <w:p>
      <w:pPr>
        <w:jc w:val="left"/>
        <w:rPr>
          <w:rFonts w:hint="eastAsia" w:ascii="黑体" w:hAnsi="黑体" w:eastAsia="黑体" w:cs="黑体"/>
          <w:sz w:val="44"/>
          <w:szCs w:val="44"/>
          <w:lang w:eastAsia="zh-CN"/>
        </w:rPr>
      </w:pPr>
    </w:p>
    <w:p>
      <w:pPr>
        <w:jc w:val="left"/>
        <w:rPr>
          <w:rFonts w:hint="eastAsia" w:ascii="黑体" w:hAnsi="黑体" w:eastAsia="黑体" w:cs="黑体"/>
          <w:sz w:val="44"/>
          <w:szCs w:val="44"/>
          <w:lang w:eastAsia="zh-CN"/>
        </w:rPr>
      </w:pPr>
    </w:p>
    <w:p>
      <w:pPr>
        <w:jc w:val="left"/>
        <w:rPr>
          <w:rFonts w:hint="eastAsia" w:ascii="黑体" w:hAnsi="黑体" w:eastAsia="黑体" w:cs="黑体"/>
          <w:sz w:val="44"/>
          <w:szCs w:val="44"/>
          <w:lang w:eastAsia="zh-CN"/>
        </w:rPr>
      </w:pPr>
    </w:p>
    <w:p>
      <w:pPr>
        <w:jc w:val="left"/>
        <w:rPr>
          <w:rFonts w:hint="eastAsia" w:ascii="黑体" w:hAnsi="黑体" w:eastAsia="黑体" w:cs="黑体"/>
          <w:sz w:val="44"/>
          <w:szCs w:val="44"/>
          <w:lang w:eastAsia="zh-CN"/>
        </w:rPr>
      </w:pPr>
    </w:p>
    <w:p>
      <w:pPr>
        <w:jc w:val="left"/>
        <w:rPr>
          <w:rFonts w:hint="eastAsia" w:ascii="仿宋" w:hAnsi="仿宋" w:eastAsia="仿宋" w:cs="仿宋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sz w:val="32"/>
          <w:szCs w:val="32"/>
        </w:rPr>
      </w:pPr>
    </w:p>
    <w:p>
      <w:pPr>
        <w:jc w:val="left"/>
        <w:rPr>
          <w:rFonts w:ascii="仿宋" w:hAnsi="仿宋" w:eastAsia="仿宋" w:cs="仿宋"/>
          <w:b/>
          <w:sz w:val="32"/>
          <w:szCs w:val="32"/>
        </w:rPr>
      </w:pP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附件三</w:t>
      </w:r>
      <w:r>
        <w:rPr>
          <w:rFonts w:hint="eastAsia" w:ascii="仿宋" w:hAnsi="仿宋" w:eastAsia="仿宋" w:cs="仿宋"/>
          <w:b/>
          <w:sz w:val="32"/>
          <w:szCs w:val="32"/>
        </w:rPr>
        <w:t xml:space="preserve">:   </w:t>
      </w:r>
    </w:p>
    <w:p>
      <w:pPr>
        <w:jc w:val="center"/>
        <w:rPr>
          <w:rFonts w:ascii="黑体" w:hAnsi="黑体" w:eastAsia="黑体" w:cs="黑体"/>
          <w:sz w:val="44"/>
          <w:szCs w:val="44"/>
        </w:rPr>
      </w:pPr>
      <w:r>
        <w:rPr>
          <w:rFonts w:hint="eastAsia" w:ascii="宋体" w:hAnsi="宋体" w:eastAsia="宋体" w:cs="宋体"/>
          <w:b/>
          <w:sz w:val="44"/>
          <w:szCs w:val="44"/>
        </w:rPr>
        <w:t>登录</w:t>
      </w:r>
      <w:r>
        <w:rPr>
          <w:rFonts w:hint="eastAsia" w:ascii="黑体" w:hAnsi="黑体" w:eastAsia="黑体" w:cs="黑体"/>
          <w:sz w:val="44"/>
          <w:szCs w:val="44"/>
        </w:rPr>
        <w:t>维修资金管理系统录入</w:t>
      </w:r>
    </w:p>
    <w:p>
      <w:pPr>
        <w:jc w:val="center"/>
        <w:rPr>
          <w:rFonts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房屋已交付信息操作说明</w:t>
      </w:r>
    </w:p>
    <w:p>
      <w:pPr>
        <w:jc w:val="left"/>
        <w:rPr>
          <w:rFonts w:hint="eastAsia" w:ascii="黑体" w:hAnsi="黑体" w:eastAsia="黑体" w:cs="黑体"/>
          <w:sz w:val="44"/>
          <w:szCs w:val="44"/>
          <w:lang w:eastAsia="zh-CN"/>
        </w:rPr>
      </w:pPr>
    </w:p>
    <w:p>
      <w:pPr>
        <w:jc w:val="left"/>
        <w:rPr>
          <w:rFonts w:hint="eastAsia" w:ascii="黑体" w:hAnsi="黑体" w:eastAsia="黑体" w:cs="黑体"/>
          <w:sz w:val="44"/>
          <w:szCs w:val="44"/>
          <w:lang w:eastAsia="zh-CN"/>
        </w:rPr>
      </w:pPr>
    </w:p>
    <w:p>
      <w:pPr>
        <w:jc w:val="left"/>
        <w:rPr>
          <w:rFonts w:hint="eastAsia" w:ascii="黑体" w:hAnsi="黑体" w:eastAsia="黑体" w:cs="黑体"/>
          <w:sz w:val="44"/>
          <w:szCs w:val="44"/>
          <w:lang w:eastAsia="zh-CN"/>
        </w:r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-99060</wp:posOffset>
            </wp:positionH>
            <wp:positionV relativeFrom="paragraph">
              <wp:posOffset>28575</wp:posOffset>
            </wp:positionV>
            <wp:extent cx="5263515" cy="5400040"/>
            <wp:effectExtent l="0" t="0" r="0" b="0"/>
            <wp:wrapTopAndBottom/>
            <wp:docPr id="2" name="图片 2" descr="附件三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附件三(1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5400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jc w:val="left"/>
        <w:rPr>
          <w:rFonts w:hint="eastAsia" w:ascii="黑体" w:hAnsi="黑体" w:eastAsia="黑体" w:cs="黑体"/>
          <w:sz w:val="44"/>
          <w:szCs w:val="44"/>
          <w:lang w:eastAsia="zh-CN"/>
        </w:rPr>
      </w:pPr>
    </w:p>
    <w:p>
      <w:pPr>
        <w:jc w:val="left"/>
        <w:rPr>
          <w:rFonts w:hint="eastAsia" w:ascii="黑体" w:hAnsi="黑体" w:eastAsia="黑体" w:cs="黑体"/>
          <w:sz w:val="44"/>
          <w:szCs w:val="44"/>
          <w:lang w:eastAsia="zh-CN"/>
        </w:rPr>
      </w:pPr>
    </w:p>
    <w:p>
      <w:pPr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附件四：    </w:t>
      </w:r>
    </w:p>
    <w:p>
      <w:pPr>
        <w:jc w:val="center"/>
        <w:rPr>
          <w:b/>
          <w:bCs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sz w:val="44"/>
          <w:szCs w:val="44"/>
        </w:rPr>
        <w:t xml:space="preserve"> 物业专项维修资金政策宣传单</w:t>
      </w:r>
    </w:p>
    <w:p>
      <w:pPr>
        <w:rPr>
          <w:b/>
          <w:bCs/>
        </w:rPr>
      </w:pPr>
    </w:p>
    <w:p>
      <w:pPr>
        <w:ind w:firstLine="643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物业专项维修资金</w:t>
      </w:r>
      <w:r>
        <w:rPr>
          <w:rFonts w:hint="eastAsia" w:ascii="仿宋_GB2312" w:hAnsi="仿宋_GB2312" w:eastAsia="仿宋_GB2312" w:cs="仿宋_GB2312"/>
          <w:sz w:val="32"/>
          <w:szCs w:val="32"/>
        </w:rPr>
        <w:t>(以下简称“维修资金” )：指专项用于物业共用部位、共用设施设备保修期满后维修、更新、改造及增设的资金。维修资金管理遵循专户存储、专款专用、业主决策、政府监督的原则。</w:t>
      </w:r>
      <w:r>
        <w:rPr>
          <w:rFonts w:hint="eastAsia" w:ascii="仿宋" w:hAnsi="仿宋" w:eastAsia="仿宋" w:cs="仿宋"/>
          <w:sz w:val="32"/>
          <w:szCs w:val="32"/>
        </w:rPr>
        <w:t>维修资金取之于民用之于民，及时维修，可以改善居住环境，延长房屋使用寿命，是“房屋的医疗和养老保险金”。</w:t>
      </w:r>
    </w:p>
    <w:p>
      <w:pPr>
        <w:ind w:firstLine="643" w:firstLineChars="20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维修资金</w:t>
      </w:r>
      <w:r>
        <w:rPr>
          <w:rFonts w:hint="eastAsia" w:ascii="仿宋" w:hAnsi="仿宋" w:eastAsia="仿宋" w:cs="仿宋"/>
          <w:b/>
          <w:sz w:val="32"/>
          <w:szCs w:val="32"/>
        </w:rPr>
        <w:t>相关文件：</w:t>
      </w:r>
      <w:r>
        <w:rPr>
          <w:rFonts w:hint="eastAsia" w:ascii="仿宋" w:hAnsi="仿宋" w:eastAsia="仿宋" w:cs="仿宋"/>
          <w:sz w:val="32"/>
          <w:szCs w:val="32"/>
        </w:rPr>
        <w:t>《住宅专项维修资金管理办法》（国家建设部与财政部165号令）；《沈阳市物业专项维修资金管理办法》</w:t>
      </w:r>
      <w:r>
        <w:rPr>
          <w:rFonts w:hint="eastAsia" w:ascii="仿宋" w:hAnsi="仿宋" w:eastAsia="仿宋"/>
          <w:sz w:val="32"/>
          <w:szCs w:val="32"/>
        </w:rPr>
        <w:t>（沈阳市人民政府第53号令</w:t>
      </w:r>
      <w:r>
        <w:rPr>
          <w:rFonts w:ascii="仿宋" w:hAnsi="仿宋" w:eastAsia="仿宋"/>
          <w:sz w:val="32"/>
          <w:szCs w:val="32"/>
        </w:rPr>
        <w:t>）</w:t>
      </w:r>
      <w:r>
        <w:rPr>
          <w:rFonts w:hint="eastAsia" w:ascii="仿宋" w:hAnsi="仿宋" w:eastAsia="仿宋"/>
          <w:sz w:val="32"/>
          <w:szCs w:val="32"/>
        </w:rPr>
        <w:t>等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维修资金交存标准</w:t>
      </w:r>
      <w:r>
        <w:rPr>
          <w:rFonts w:hint="eastAsia" w:ascii="仿宋_GB2312" w:hAnsi="仿宋_GB2312" w:eastAsia="仿宋_GB2312" w:cs="仿宋_GB2312"/>
          <w:sz w:val="32"/>
          <w:szCs w:val="32"/>
        </w:rPr>
        <w:t>：配备电梯的物业，按照建筑面积每平方米92元交存；未配备电梯的物业，按照建筑面积每平方米63元交存。</w:t>
      </w:r>
    </w:p>
    <w:p>
      <w:pPr>
        <w:ind w:firstLine="630" w:firstLineChars="196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维修资金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交存程序及所需材料：</w:t>
      </w:r>
    </w:p>
    <w:p>
      <w:pPr>
        <w:numPr>
          <w:ilvl w:val="0"/>
          <w:numId w:val="1"/>
        </w:numPr>
        <w:ind w:firstLine="627" w:firstLineChars="196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业主到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开发建设单位（或物业服务企业）</w:t>
      </w:r>
      <w:r>
        <w:rPr>
          <w:rFonts w:hint="eastAsia" w:ascii="仿宋_GB2312" w:hAnsi="仿宋_GB2312" w:eastAsia="仿宋_GB2312" w:cs="仿宋_GB2312"/>
          <w:sz w:val="32"/>
          <w:szCs w:val="32"/>
        </w:rPr>
        <w:t>开具《沈阳市物业专项维修资金交款通知单》 (以下简称“交款通知单” )。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 xml:space="preserve">如遇小区拆迁、小区剩余未交户数较少、相关单位未及时申请权限或权限使用不当等情况时，各区房产局负责办理相关业务。 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2、业主本人持身份证、交款通知单及商品房买卖合同(已备案)到维修资金专户银行交款。</w:t>
      </w:r>
    </w:p>
    <w:p>
      <w:pPr>
        <w:ind w:firstLine="627" w:firstLineChars="196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3、专户银行经核对确认无误后办理收款，出具《辽宁省住宅专项维修资金专用收据》。</w:t>
      </w:r>
    </w:p>
    <w:p>
      <w:pPr>
        <w:ind w:firstLine="630" w:firstLineChars="196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维修资金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退还程序及所需材料：</w:t>
      </w:r>
    </w:p>
    <w:p>
      <w:pPr>
        <w:ind w:firstLine="627" w:firstLineChars="196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1、业主向房屋所在区维修资金管理部门领取、填写《物业专项维修资金退还审核表》 (简称退还审核表)。</w:t>
      </w:r>
    </w:p>
    <w:p>
      <w:pPr>
        <w:ind w:firstLine="627" w:firstLineChars="196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2、区维修资金管理部门审核同意后，通过维修资金管理系统打印维修资金退款通知单。</w:t>
      </w:r>
    </w:p>
    <w:p>
      <w:pPr>
        <w:ind w:firstLine="627" w:firstLineChars="196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3、财务部门通知专户银行退还维修资金。</w:t>
      </w:r>
    </w:p>
    <w:p>
      <w:pPr>
        <w:ind w:firstLine="630" w:firstLineChars="196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维修资金变更(分户)办理程序及所需材料：</w:t>
      </w:r>
    </w:p>
    <w:p>
      <w:pPr>
        <w:ind w:firstLine="627" w:firstLineChars="196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1、业主向房屋所在区维修资金管理部门领取、填写《物业专项维修资金变更(分户)审核表》 (简称变更(分户)审核表)。</w:t>
      </w:r>
    </w:p>
    <w:p>
      <w:pPr>
        <w:ind w:firstLine="627" w:firstLineChars="196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2、区维修资金管理部门审核合格后，在维修资金管理系统中变更信息，并出具维修资金变更(分户)审核表一式三份，其中区维修资金管理部门留存一份，房屋登记部门留存一份，业主留存一份。</w:t>
      </w:r>
    </w:p>
    <w:p>
      <w:pPr>
        <w:jc w:val="left"/>
        <w:rPr>
          <w:rFonts w:hint="eastAsia" w:ascii="黑体" w:hAnsi="黑体" w:eastAsia="黑体" w:cs="黑体"/>
          <w:sz w:val="44"/>
          <w:szCs w:val="44"/>
          <w:lang w:eastAsia="zh-CN"/>
        </w:rPr>
      </w:pPr>
    </w:p>
    <w:p>
      <w:pPr>
        <w:jc w:val="left"/>
        <w:rPr>
          <w:rFonts w:hint="eastAsia" w:ascii="黑体" w:hAnsi="黑体" w:eastAsia="黑体" w:cs="黑体"/>
          <w:sz w:val="44"/>
          <w:szCs w:val="44"/>
          <w:lang w:eastAsia="zh-CN"/>
        </w:rPr>
      </w:pPr>
    </w:p>
    <w:sectPr>
      <w:footerReference r:id="rId3" w:type="default"/>
      <w:pgSz w:w="11906" w:h="16838"/>
      <w:pgMar w:top="1418" w:right="1474" w:bottom="1440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等线 Light">
    <w:altName w:val="宋体"/>
    <w:panose1 w:val="00000000000000000000"/>
    <w:charset w:val="86"/>
    <w:family w:val="roman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37476496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8E8DD69"/>
    <w:multiLevelType w:val="singleLevel"/>
    <w:tmpl w:val="18E8DD69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mNmZDdiMjBjM2FiN2NkZmI2ZWFkZWE1ODM3NGVmNDkifQ=="/>
  </w:docVars>
  <w:rsids>
    <w:rsidRoot w:val="00807917"/>
    <w:rsid w:val="000239CC"/>
    <w:rsid w:val="000257A1"/>
    <w:rsid w:val="000277FC"/>
    <w:rsid w:val="00027CBD"/>
    <w:rsid w:val="000309D9"/>
    <w:rsid w:val="00031F03"/>
    <w:rsid w:val="000340F9"/>
    <w:rsid w:val="00043710"/>
    <w:rsid w:val="0004784A"/>
    <w:rsid w:val="0006048A"/>
    <w:rsid w:val="000725B6"/>
    <w:rsid w:val="0007304F"/>
    <w:rsid w:val="00090496"/>
    <w:rsid w:val="00095B29"/>
    <w:rsid w:val="000A2917"/>
    <w:rsid w:val="000C0489"/>
    <w:rsid w:val="000C20E5"/>
    <w:rsid w:val="000C3FBA"/>
    <w:rsid w:val="000E1AF8"/>
    <w:rsid w:val="000E7A3E"/>
    <w:rsid w:val="00106A7D"/>
    <w:rsid w:val="0011034A"/>
    <w:rsid w:val="0011481E"/>
    <w:rsid w:val="0012366B"/>
    <w:rsid w:val="00124AAF"/>
    <w:rsid w:val="00132C07"/>
    <w:rsid w:val="001355B3"/>
    <w:rsid w:val="001363EA"/>
    <w:rsid w:val="00142442"/>
    <w:rsid w:val="00147888"/>
    <w:rsid w:val="001500EF"/>
    <w:rsid w:val="00150728"/>
    <w:rsid w:val="001619A0"/>
    <w:rsid w:val="00164108"/>
    <w:rsid w:val="00167133"/>
    <w:rsid w:val="00181422"/>
    <w:rsid w:val="001819A9"/>
    <w:rsid w:val="00191953"/>
    <w:rsid w:val="001920D3"/>
    <w:rsid w:val="00197E61"/>
    <w:rsid w:val="001A135B"/>
    <w:rsid w:val="001A55E8"/>
    <w:rsid w:val="001B7199"/>
    <w:rsid w:val="001C3CBE"/>
    <w:rsid w:val="001C705D"/>
    <w:rsid w:val="001D022C"/>
    <w:rsid w:val="001D11EC"/>
    <w:rsid w:val="001E2A94"/>
    <w:rsid w:val="001E3BE8"/>
    <w:rsid w:val="001E6F9C"/>
    <w:rsid w:val="00202DF6"/>
    <w:rsid w:val="00203F9C"/>
    <w:rsid w:val="00210ABE"/>
    <w:rsid w:val="002161CA"/>
    <w:rsid w:val="002205B9"/>
    <w:rsid w:val="00220FE7"/>
    <w:rsid w:val="002262A1"/>
    <w:rsid w:val="00244E4D"/>
    <w:rsid w:val="002573AC"/>
    <w:rsid w:val="00261349"/>
    <w:rsid w:val="002673CA"/>
    <w:rsid w:val="00285E9E"/>
    <w:rsid w:val="00286A5C"/>
    <w:rsid w:val="002971D2"/>
    <w:rsid w:val="002A18B8"/>
    <w:rsid w:val="002A4E58"/>
    <w:rsid w:val="002A6CBD"/>
    <w:rsid w:val="002C648F"/>
    <w:rsid w:val="002C6675"/>
    <w:rsid w:val="002D76CC"/>
    <w:rsid w:val="002E1C7A"/>
    <w:rsid w:val="002E459F"/>
    <w:rsid w:val="002E52F1"/>
    <w:rsid w:val="002F4776"/>
    <w:rsid w:val="00320534"/>
    <w:rsid w:val="00320796"/>
    <w:rsid w:val="00326826"/>
    <w:rsid w:val="003334A5"/>
    <w:rsid w:val="00341B4D"/>
    <w:rsid w:val="0034598D"/>
    <w:rsid w:val="00346FC3"/>
    <w:rsid w:val="00354063"/>
    <w:rsid w:val="0035444F"/>
    <w:rsid w:val="003623D9"/>
    <w:rsid w:val="003663B9"/>
    <w:rsid w:val="00370B1F"/>
    <w:rsid w:val="0039258C"/>
    <w:rsid w:val="00396E6E"/>
    <w:rsid w:val="003A1919"/>
    <w:rsid w:val="003B3BF0"/>
    <w:rsid w:val="003B4EAD"/>
    <w:rsid w:val="003C7785"/>
    <w:rsid w:val="003D770A"/>
    <w:rsid w:val="003E4AD0"/>
    <w:rsid w:val="003E4F16"/>
    <w:rsid w:val="003F0D08"/>
    <w:rsid w:val="003F0EA4"/>
    <w:rsid w:val="00404DBC"/>
    <w:rsid w:val="004064C9"/>
    <w:rsid w:val="00410A00"/>
    <w:rsid w:val="0041173D"/>
    <w:rsid w:val="00436110"/>
    <w:rsid w:val="00437903"/>
    <w:rsid w:val="00445AA8"/>
    <w:rsid w:val="00446BC8"/>
    <w:rsid w:val="00453577"/>
    <w:rsid w:val="00454DC8"/>
    <w:rsid w:val="00461AA0"/>
    <w:rsid w:val="00462BF0"/>
    <w:rsid w:val="00476D8B"/>
    <w:rsid w:val="004855C2"/>
    <w:rsid w:val="0049590A"/>
    <w:rsid w:val="004B0104"/>
    <w:rsid w:val="004C2150"/>
    <w:rsid w:val="004C21B3"/>
    <w:rsid w:val="004C72BD"/>
    <w:rsid w:val="004D4029"/>
    <w:rsid w:val="004E13FE"/>
    <w:rsid w:val="004E3F5D"/>
    <w:rsid w:val="004F0F28"/>
    <w:rsid w:val="004F2676"/>
    <w:rsid w:val="005065E5"/>
    <w:rsid w:val="00522FE9"/>
    <w:rsid w:val="005322C3"/>
    <w:rsid w:val="00554A5F"/>
    <w:rsid w:val="00556754"/>
    <w:rsid w:val="00575330"/>
    <w:rsid w:val="0058325B"/>
    <w:rsid w:val="00590DB5"/>
    <w:rsid w:val="005A51AF"/>
    <w:rsid w:val="005A591C"/>
    <w:rsid w:val="005A60AB"/>
    <w:rsid w:val="005B12E4"/>
    <w:rsid w:val="005C1137"/>
    <w:rsid w:val="005F3500"/>
    <w:rsid w:val="00601135"/>
    <w:rsid w:val="00604D72"/>
    <w:rsid w:val="00612555"/>
    <w:rsid w:val="00614481"/>
    <w:rsid w:val="006150BE"/>
    <w:rsid w:val="006251EA"/>
    <w:rsid w:val="00641BE7"/>
    <w:rsid w:val="0064316E"/>
    <w:rsid w:val="00652E84"/>
    <w:rsid w:val="00654EDB"/>
    <w:rsid w:val="0065715F"/>
    <w:rsid w:val="006726A7"/>
    <w:rsid w:val="00675C44"/>
    <w:rsid w:val="00676646"/>
    <w:rsid w:val="006840F7"/>
    <w:rsid w:val="006A0516"/>
    <w:rsid w:val="006A55CB"/>
    <w:rsid w:val="006A580A"/>
    <w:rsid w:val="006A5EC7"/>
    <w:rsid w:val="006D3483"/>
    <w:rsid w:val="006E5D8D"/>
    <w:rsid w:val="006F0E54"/>
    <w:rsid w:val="006F32CC"/>
    <w:rsid w:val="006F36E8"/>
    <w:rsid w:val="006F3DBC"/>
    <w:rsid w:val="007077BC"/>
    <w:rsid w:val="00715E03"/>
    <w:rsid w:val="00715EB9"/>
    <w:rsid w:val="00716E47"/>
    <w:rsid w:val="00716F59"/>
    <w:rsid w:val="00721D34"/>
    <w:rsid w:val="007222F2"/>
    <w:rsid w:val="00733083"/>
    <w:rsid w:val="00733293"/>
    <w:rsid w:val="00734D78"/>
    <w:rsid w:val="00737E42"/>
    <w:rsid w:val="0074200B"/>
    <w:rsid w:val="00742594"/>
    <w:rsid w:val="00742FED"/>
    <w:rsid w:val="00751CA1"/>
    <w:rsid w:val="007647BD"/>
    <w:rsid w:val="007760BF"/>
    <w:rsid w:val="00783589"/>
    <w:rsid w:val="00791FD3"/>
    <w:rsid w:val="00792AF8"/>
    <w:rsid w:val="00794F24"/>
    <w:rsid w:val="007A165B"/>
    <w:rsid w:val="007A7EE8"/>
    <w:rsid w:val="007B47F6"/>
    <w:rsid w:val="007C3BC2"/>
    <w:rsid w:val="007D6F5B"/>
    <w:rsid w:val="00807917"/>
    <w:rsid w:val="00815E39"/>
    <w:rsid w:val="008224C7"/>
    <w:rsid w:val="008242CE"/>
    <w:rsid w:val="008278A4"/>
    <w:rsid w:val="00830906"/>
    <w:rsid w:val="00830D25"/>
    <w:rsid w:val="00851496"/>
    <w:rsid w:val="008545A7"/>
    <w:rsid w:val="00866CD5"/>
    <w:rsid w:val="0087318E"/>
    <w:rsid w:val="00874654"/>
    <w:rsid w:val="008765E4"/>
    <w:rsid w:val="00883E9E"/>
    <w:rsid w:val="00887B46"/>
    <w:rsid w:val="00895352"/>
    <w:rsid w:val="008A3907"/>
    <w:rsid w:val="008A4122"/>
    <w:rsid w:val="008C2D22"/>
    <w:rsid w:val="008C64B3"/>
    <w:rsid w:val="008D40CE"/>
    <w:rsid w:val="008D5C3C"/>
    <w:rsid w:val="008D600A"/>
    <w:rsid w:val="008D71E8"/>
    <w:rsid w:val="0090091B"/>
    <w:rsid w:val="00901E18"/>
    <w:rsid w:val="00913C1C"/>
    <w:rsid w:val="009200D1"/>
    <w:rsid w:val="0094236B"/>
    <w:rsid w:val="00943348"/>
    <w:rsid w:val="00971E11"/>
    <w:rsid w:val="0097728D"/>
    <w:rsid w:val="00982B0D"/>
    <w:rsid w:val="00983549"/>
    <w:rsid w:val="0099717D"/>
    <w:rsid w:val="009A0058"/>
    <w:rsid w:val="009A4A77"/>
    <w:rsid w:val="009A58D6"/>
    <w:rsid w:val="009C3591"/>
    <w:rsid w:val="009C5AEB"/>
    <w:rsid w:val="009C6D25"/>
    <w:rsid w:val="009C722F"/>
    <w:rsid w:val="009D3455"/>
    <w:rsid w:val="009D4BB3"/>
    <w:rsid w:val="009E12E1"/>
    <w:rsid w:val="009E2BF0"/>
    <w:rsid w:val="009E3E88"/>
    <w:rsid w:val="009E469A"/>
    <w:rsid w:val="009F6145"/>
    <w:rsid w:val="00A025EF"/>
    <w:rsid w:val="00A1791C"/>
    <w:rsid w:val="00A22E16"/>
    <w:rsid w:val="00A23A3D"/>
    <w:rsid w:val="00A40EFF"/>
    <w:rsid w:val="00A41AE6"/>
    <w:rsid w:val="00A47338"/>
    <w:rsid w:val="00A51640"/>
    <w:rsid w:val="00A535A0"/>
    <w:rsid w:val="00A537D7"/>
    <w:rsid w:val="00A9435D"/>
    <w:rsid w:val="00A94DDC"/>
    <w:rsid w:val="00AA0169"/>
    <w:rsid w:val="00AA253A"/>
    <w:rsid w:val="00AB7251"/>
    <w:rsid w:val="00AC128A"/>
    <w:rsid w:val="00AD772B"/>
    <w:rsid w:val="00AE7062"/>
    <w:rsid w:val="00AF2EB2"/>
    <w:rsid w:val="00AF3607"/>
    <w:rsid w:val="00B0248A"/>
    <w:rsid w:val="00B076CA"/>
    <w:rsid w:val="00B17763"/>
    <w:rsid w:val="00B33D4E"/>
    <w:rsid w:val="00B40589"/>
    <w:rsid w:val="00B44230"/>
    <w:rsid w:val="00B4765E"/>
    <w:rsid w:val="00B608D0"/>
    <w:rsid w:val="00B64592"/>
    <w:rsid w:val="00B65A8C"/>
    <w:rsid w:val="00B74FF6"/>
    <w:rsid w:val="00B754AC"/>
    <w:rsid w:val="00B87B29"/>
    <w:rsid w:val="00B94C8F"/>
    <w:rsid w:val="00BC1820"/>
    <w:rsid w:val="00BC3A06"/>
    <w:rsid w:val="00BC447C"/>
    <w:rsid w:val="00BD1DFB"/>
    <w:rsid w:val="00BD245D"/>
    <w:rsid w:val="00BF1123"/>
    <w:rsid w:val="00BF3DD3"/>
    <w:rsid w:val="00BF5A06"/>
    <w:rsid w:val="00BF6125"/>
    <w:rsid w:val="00BF76BF"/>
    <w:rsid w:val="00C046F5"/>
    <w:rsid w:val="00C1089A"/>
    <w:rsid w:val="00C132BB"/>
    <w:rsid w:val="00C224CE"/>
    <w:rsid w:val="00C2456E"/>
    <w:rsid w:val="00C327B2"/>
    <w:rsid w:val="00C4658C"/>
    <w:rsid w:val="00C51F7A"/>
    <w:rsid w:val="00C56DDF"/>
    <w:rsid w:val="00C60FF3"/>
    <w:rsid w:val="00C6460B"/>
    <w:rsid w:val="00C65370"/>
    <w:rsid w:val="00C704DD"/>
    <w:rsid w:val="00C71CE8"/>
    <w:rsid w:val="00C96273"/>
    <w:rsid w:val="00CA1AE3"/>
    <w:rsid w:val="00CA2408"/>
    <w:rsid w:val="00CA6594"/>
    <w:rsid w:val="00CB7ECC"/>
    <w:rsid w:val="00CC0B73"/>
    <w:rsid w:val="00CC711B"/>
    <w:rsid w:val="00CE1020"/>
    <w:rsid w:val="00CF543B"/>
    <w:rsid w:val="00D06D0C"/>
    <w:rsid w:val="00D2500F"/>
    <w:rsid w:val="00D252D4"/>
    <w:rsid w:val="00D3463F"/>
    <w:rsid w:val="00D408D7"/>
    <w:rsid w:val="00D43F16"/>
    <w:rsid w:val="00D57B37"/>
    <w:rsid w:val="00D67210"/>
    <w:rsid w:val="00D72791"/>
    <w:rsid w:val="00D759A3"/>
    <w:rsid w:val="00D76618"/>
    <w:rsid w:val="00D90695"/>
    <w:rsid w:val="00D92720"/>
    <w:rsid w:val="00D95752"/>
    <w:rsid w:val="00D96EFE"/>
    <w:rsid w:val="00DA0AE4"/>
    <w:rsid w:val="00DA335A"/>
    <w:rsid w:val="00DA5D43"/>
    <w:rsid w:val="00DB4379"/>
    <w:rsid w:val="00DB6B3A"/>
    <w:rsid w:val="00DC2D01"/>
    <w:rsid w:val="00DC7B1D"/>
    <w:rsid w:val="00DD7514"/>
    <w:rsid w:val="00DE1E0C"/>
    <w:rsid w:val="00DE3C65"/>
    <w:rsid w:val="00DF2A84"/>
    <w:rsid w:val="00E1008B"/>
    <w:rsid w:val="00E33236"/>
    <w:rsid w:val="00E34ECB"/>
    <w:rsid w:val="00E36020"/>
    <w:rsid w:val="00E41F64"/>
    <w:rsid w:val="00E4260A"/>
    <w:rsid w:val="00E46FAA"/>
    <w:rsid w:val="00E60D0C"/>
    <w:rsid w:val="00E6446D"/>
    <w:rsid w:val="00E70F0C"/>
    <w:rsid w:val="00E71AE3"/>
    <w:rsid w:val="00E769A7"/>
    <w:rsid w:val="00EA3B2A"/>
    <w:rsid w:val="00EA69CA"/>
    <w:rsid w:val="00EC144A"/>
    <w:rsid w:val="00F04DB4"/>
    <w:rsid w:val="00F14E4A"/>
    <w:rsid w:val="00F16F25"/>
    <w:rsid w:val="00F21962"/>
    <w:rsid w:val="00F44C2D"/>
    <w:rsid w:val="00F73CE7"/>
    <w:rsid w:val="00F83C58"/>
    <w:rsid w:val="00F937F2"/>
    <w:rsid w:val="00FC234D"/>
    <w:rsid w:val="00FC6961"/>
    <w:rsid w:val="00FD0E13"/>
    <w:rsid w:val="00FE05C3"/>
    <w:rsid w:val="00FE4268"/>
    <w:rsid w:val="00FE5C7D"/>
    <w:rsid w:val="07267AAE"/>
    <w:rsid w:val="08935065"/>
    <w:rsid w:val="0B2F57C3"/>
    <w:rsid w:val="13704BE6"/>
    <w:rsid w:val="14CC52F4"/>
    <w:rsid w:val="15C034ED"/>
    <w:rsid w:val="15C973E2"/>
    <w:rsid w:val="19524AC9"/>
    <w:rsid w:val="1B513CE6"/>
    <w:rsid w:val="225129EA"/>
    <w:rsid w:val="26256CDC"/>
    <w:rsid w:val="325C4E4B"/>
    <w:rsid w:val="33DC3B42"/>
    <w:rsid w:val="36737D79"/>
    <w:rsid w:val="368220F2"/>
    <w:rsid w:val="39B53C7B"/>
    <w:rsid w:val="3C741304"/>
    <w:rsid w:val="3D4E1606"/>
    <w:rsid w:val="3DF81FEE"/>
    <w:rsid w:val="40AB60B4"/>
    <w:rsid w:val="41566A18"/>
    <w:rsid w:val="43DB0D03"/>
    <w:rsid w:val="447A50D5"/>
    <w:rsid w:val="453243BC"/>
    <w:rsid w:val="472D51B2"/>
    <w:rsid w:val="52AA5CD4"/>
    <w:rsid w:val="531B14AC"/>
    <w:rsid w:val="57763908"/>
    <w:rsid w:val="57D723EB"/>
    <w:rsid w:val="5ABB1160"/>
    <w:rsid w:val="5EF82890"/>
    <w:rsid w:val="60DD0D32"/>
    <w:rsid w:val="66472464"/>
    <w:rsid w:val="6EAE2158"/>
    <w:rsid w:val="79481BE3"/>
    <w:rsid w:val="D9F72E9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  <w:szCs w:val="24"/>
    </w:rPr>
  </w:style>
  <w:style w:type="character" w:styleId="8">
    <w:name w:val="page number"/>
    <w:basedOn w:val="7"/>
    <w:unhideWhenUsed/>
    <w:qFormat/>
    <w:uiPriority w:val="99"/>
    <w:rPr>
      <w:rFonts w:eastAsiaTheme="minorEastAsia" w:cstheme="minorBidi"/>
      <w:szCs w:val="22"/>
      <w:lang w:eastAsia="zh-CN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2">
    <w:name w:val="批注框文本 Char"/>
    <w:basedOn w:val="7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XTC</Company>
  <Pages>3</Pages>
  <Words>1242</Words>
  <Characters>1263</Characters>
  <Lines>9</Lines>
  <Paragraphs>2</Paragraphs>
  <TotalTime>2</TotalTime>
  <ScaleCrop>false</ScaleCrop>
  <LinksUpToDate>false</LinksUpToDate>
  <CharactersWithSpaces>1268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2023-02-02T03:32:00Z</dcterms:created>
  <dc:creator>王晶</dc:creator>
  <cp:lastModifiedBy>李征尧</cp:lastModifiedBy>
  <cp:lastPrinted>2022-11-02T08:32:00Z</cp:lastPrinted>
  <dcterms:modified xsi:type="dcterms:W3CDTF">2023-02-24T01:28:37Z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5ADE10D5587349079C187D45BE8393B3</vt:lpwstr>
  </property>
</Properties>
</file>