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80" w:lineRule="exact"/>
        <w:jc w:val="both"/>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沈阳</w:t>
      </w:r>
      <w:r>
        <w:rPr>
          <w:rFonts w:hint="eastAsia" w:ascii="方正小标宋简体" w:hAnsi="方正小标宋简体" w:eastAsia="方正小标宋简体" w:cs="方正小标宋简体"/>
          <w:sz w:val="44"/>
          <w:szCs w:val="44"/>
        </w:rPr>
        <w:t>市生态环境保护督察及回头看整改工作</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领导小组办公室关于《沈阳市中央生态环境</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保护督察整改方案》第</w:t>
      </w:r>
      <w:r>
        <w:rPr>
          <w:rFonts w:hint="eastAsia" w:ascii="方正小标宋简体" w:hAnsi="方正小标宋简体" w:eastAsia="方正小标宋简体" w:cs="方正小标宋简体"/>
          <w:sz w:val="44"/>
          <w:szCs w:val="44"/>
          <w:lang w:val="en-US" w:eastAsia="zh-CN"/>
        </w:rPr>
        <w:t>六</w:t>
      </w:r>
      <w:r>
        <w:rPr>
          <w:rFonts w:hint="eastAsia" w:ascii="方正小标宋简体" w:hAnsi="方正小标宋简体" w:eastAsia="方正小标宋简体" w:cs="方正小标宋简体"/>
          <w:sz w:val="44"/>
          <w:szCs w:val="44"/>
        </w:rPr>
        <w:t>项整改任务的验收</w:t>
      </w:r>
    </w:p>
    <w:p>
      <w:pPr>
        <w:keepNext w:val="0"/>
        <w:keepLines w:val="0"/>
        <w:pageBreakBefore w:val="0"/>
        <w:widowControl w:val="0"/>
        <w:kinsoku/>
        <w:wordWrap/>
        <w:overflowPunct/>
        <w:topLinePunct w:val="0"/>
        <w:autoSpaceDE/>
        <w:autoSpaceDN/>
        <w:bidi w:val="0"/>
        <w:adjustRightInd/>
        <w:spacing w:line="580" w:lineRule="exact"/>
        <w:jc w:val="center"/>
        <w:textAlignment w:val="auto"/>
      </w:pPr>
      <w:r>
        <w:rPr>
          <w:rFonts w:hint="eastAsia" w:ascii="方正小标宋简体" w:hAnsi="方正小标宋简体" w:eastAsia="方正小标宋简体" w:cs="方正小标宋简体"/>
          <w:sz w:val="44"/>
          <w:szCs w:val="44"/>
        </w:rPr>
        <w:t>销号意见</w:t>
      </w:r>
    </w:p>
    <w:p>
      <w:pPr>
        <w:keepNext w:val="0"/>
        <w:keepLines w:val="0"/>
        <w:pageBreakBefore w:val="0"/>
        <w:widowControl w:val="0"/>
        <w:kinsoku/>
        <w:wordWrap/>
        <w:overflowPunct/>
        <w:topLinePunct w:val="0"/>
        <w:autoSpaceDE/>
        <w:autoSpaceDN/>
        <w:bidi w:val="0"/>
        <w:adjustRightInd/>
        <w:spacing w:line="580" w:lineRule="exact"/>
        <w:textAlignment w:val="auto"/>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pacing w:line="580"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市生态环境保护督察及“回头看”整改工作领导小组：</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按照市生态环境保护督察及“回头看”整改工作领导小组要求，我单位组建了验收组，依据《沈阳市中央生态环境保护督察整改方案》《沈阳市中央生态环境保护督察反馈意见整改方案整改任务验收参考标准》和《沈阳市生态环境保护督察整改任务验收销号办法（试行）》规定，对《沈阳市中央生态环境保护督察整改方案》中责任单位</w:t>
      </w:r>
      <w:r>
        <w:rPr>
          <w:rFonts w:hint="eastAsia" w:ascii="仿宋_GB2312" w:hAnsi="仿宋_GB2312" w:eastAsia="仿宋_GB2312" w:cs="仿宋_GB2312"/>
          <w:sz w:val="32"/>
          <w:szCs w:val="32"/>
          <w:lang w:val="en-US" w:eastAsia="zh-CN"/>
        </w:rPr>
        <w:t>沈阳市房产局</w:t>
      </w:r>
      <w:r>
        <w:rPr>
          <w:rFonts w:hint="eastAsia" w:ascii="仿宋_GB2312" w:hAnsi="仿宋_GB2312" w:eastAsia="仿宋_GB2312" w:cs="仿宋_GB2312"/>
          <w:sz w:val="32"/>
          <w:szCs w:val="32"/>
        </w:rPr>
        <w:t>所承担的第</w:t>
      </w:r>
      <w:r>
        <w:rPr>
          <w:rFonts w:hint="eastAsia" w:ascii="仿宋_GB2312" w:hAnsi="仿宋_GB2312" w:eastAsia="仿宋_GB2312" w:cs="仿宋_GB2312"/>
          <w:sz w:val="32"/>
          <w:szCs w:val="32"/>
          <w:lang w:val="en-US" w:eastAsia="zh-CN"/>
        </w:rPr>
        <w:t>六</w:t>
      </w:r>
      <w:r>
        <w:rPr>
          <w:rFonts w:hint="eastAsia" w:ascii="仿宋_GB2312" w:hAnsi="仿宋_GB2312" w:eastAsia="仿宋_GB2312" w:cs="仿宋_GB2312"/>
          <w:sz w:val="32"/>
          <w:szCs w:val="32"/>
        </w:rPr>
        <w:t>项整改任务进行了验收，提出如下意见:</w:t>
      </w:r>
    </w:p>
    <w:p>
      <w:pPr>
        <w:keepNext w:val="0"/>
        <w:keepLines w:val="0"/>
        <w:pageBreakBefore w:val="0"/>
        <w:widowControl w:val="0"/>
        <w:numPr>
          <w:ilvl w:val="0"/>
          <w:numId w:val="1"/>
        </w:numPr>
        <w:kinsoku/>
        <w:wordWrap/>
        <w:overflowPunct/>
        <w:topLinePunct w:val="0"/>
        <w:autoSpaceDE/>
        <w:autoSpaceDN/>
        <w:bidi w:val="0"/>
        <w:adjustRightInd/>
        <w:spacing w:line="58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督察指出的问题</w:t>
      </w:r>
    </w:p>
    <w:p>
      <w:pPr>
        <w:keepNext w:val="0"/>
        <w:keepLines w:val="0"/>
        <w:pageBreakBefore w:val="0"/>
        <w:widowControl w:val="0"/>
        <w:numPr>
          <w:ilvl w:val="0"/>
          <w:numId w:val="0"/>
        </w:numPr>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空气质量改善进展不平衡、不稳固。2020年，沈阳市优良天数比例为78.4%，未达到国家80%的目标要求。</w:t>
      </w:r>
    </w:p>
    <w:p>
      <w:pPr>
        <w:keepNext w:val="0"/>
        <w:keepLines w:val="0"/>
        <w:pageBreakBefore w:val="0"/>
        <w:widowControl w:val="0"/>
        <w:numPr>
          <w:ilvl w:val="0"/>
          <w:numId w:val="1"/>
        </w:numPr>
        <w:kinsoku/>
        <w:wordWrap/>
        <w:overflowPunct/>
        <w:topLinePunct w:val="0"/>
        <w:autoSpaceDE/>
        <w:autoSpaceDN/>
        <w:bidi w:val="0"/>
        <w:adjustRightInd/>
        <w:spacing w:line="58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责任单位采取的工作举措</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1.完成民用燃煤锅炉的淘汰和改造工作任务</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2.完成热电联产机组供热半径30公里范围内5台民用供热燃煤锅炉关停整合工作任务</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0"/>
        </w:numPr>
        <w:tabs>
          <w:tab w:val="left" w:pos="1610"/>
        </w:tabs>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编制</w:t>
      </w:r>
      <w:r>
        <w:rPr>
          <w:rFonts w:hint="eastAsia" w:ascii="仿宋_GB2312" w:hAnsi="仿宋_GB2312" w:eastAsia="仿宋_GB2312" w:cs="仿宋_GB2312"/>
          <w:sz w:val="32"/>
          <w:szCs w:val="32"/>
          <w:lang w:val="en-US" w:eastAsia="zh-CN"/>
        </w:rPr>
        <w:t>完成</w:t>
      </w:r>
      <w:r>
        <w:rPr>
          <w:rFonts w:hint="eastAsia" w:ascii="仿宋_GB2312" w:hAnsi="仿宋_GB2312" w:eastAsia="仿宋_GB2312" w:cs="仿宋_GB2312"/>
          <w:sz w:val="32"/>
          <w:szCs w:val="32"/>
        </w:rPr>
        <w:t>《沈阳市城市民用供热规划方案》</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pacing w:line="58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lang w:val="en-US" w:eastAsia="zh-CN"/>
        </w:rPr>
        <w:t>三、</w:t>
      </w:r>
      <w:r>
        <w:rPr>
          <w:rFonts w:hint="eastAsia" w:ascii="黑体" w:hAnsi="黑体" w:eastAsia="黑体" w:cs="黑体"/>
          <w:sz w:val="32"/>
          <w:szCs w:val="32"/>
        </w:rPr>
        <w:t>整改任务整改措施的落实情况</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（一）2021年10月底前，</w:t>
      </w:r>
      <w:r>
        <w:rPr>
          <w:rFonts w:hint="eastAsia" w:ascii="仿宋_GB2312" w:hAnsi="仿宋_GB2312" w:eastAsia="仿宋_GB2312" w:cs="仿宋_GB2312"/>
          <w:sz w:val="32"/>
          <w:szCs w:val="32"/>
          <w:lang w:val="en-US" w:eastAsia="zh-CN"/>
        </w:rPr>
        <w:t>市房产</w:t>
      </w:r>
      <w:r>
        <w:rPr>
          <w:rFonts w:hint="eastAsia" w:ascii="仿宋_GB2312" w:hAnsi="仿宋_GB2312" w:eastAsia="仿宋_GB2312" w:cs="仿宋_GB2312"/>
          <w:sz w:val="32"/>
          <w:szCs w:val="32"/>
        </w:rPr>
        <w:t>局已</w:t>
      </w:r>
      <w:r>
        <w:rPr>
          <w:rFonts w:hint="eastAsia" w:ascii="仿宋_GB2312" w:hAnsi="仿宋_GB2312" w:eastAsia="仿宋_GB2312" w:cs="仿宋_GB2312"/>
          <w:sz w:val="32"/>
          <w:szCs w:val="32"/>
          <w:lang w:val="en-US" w:eastAsia="zh-CN"/>
        </w:rPr>
        <w:t>按</w:t>
      </w:r>
      <w:r>
        <w:rPr>
          <w:rFonts w:hint="eastAsia" w:ascii="仿宋_GB2312" w:hAnsi="仿宋_GB2312" w:eastAsia="仿宋_GB2312" w:cs="仿宋_GB2312"/>
          <w:sz w:val="32"/>
          <w:szCs w:val="32"/>
        </w:rPr>
        <w:t>要求完成民用燃煤锅炉的淘汰和改造工作任务，实际完成35台。淘汰城市建成区内35蒸吨/小时10台，其中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和平区2台、沈河区2台、铁西区2台、于洪区1台、苏家屯区2台、浑南区1台；淘汰建成区外20蒸吨及以下民用供热燃煤锅炉25台，其中∶大东区1台、于洪区2台、苏家屯区10台、沈北新区4台、开发区4台、浑南区4台。</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（二）2021年10月底前，</w:t>
      </w:r>
      <w:r>
        <w:rPr>
          <w:rFonts w:hint="eastAsia" w:ascii="仿宋_GB2312" w:hAnsi="仿宋_GB2312" w:eastAsia="仿宋_GB2312" w:cs="仿宋_GB2312"/>
          <w:sz w:val="32"/>
          <w:szCs w:val="32"/>
          <w:lang w:val="en-US" w:eastAsia="zh-CN"/>
        </w:rPr>
        <w:t>市房产局</w:t>
      </w:r>
      <w:r>
        <w:rPr>
          <w:rFonts w:hint="eastAsia" w:ascii="仿宋_GB2312" w:hAnsi="仿宋_GB2312" w:eastAsia="仿宋_GB2312" w:cs="仿宋_GB2312"/>
          <w:sz w:val="32"/>
          <w:szCs w:val="32"/>
        </w:rPr>
        <w:t>已完成热电联产机组供热半径30公里范围内5台民用供热燃煤锅炉关停整合工作任务，其中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和平区2台、浑南区1台、苏家屯区2台。</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（三）2021年2月初，根据市政府工作部署，</w:t>
      </w:r>
      <w:r>
        <w:rPr>
          <w:rFonts w:hint="eastAsia" w:ascii="仿宋_GB2312" w:hAnsi="仿宋_GB2312" w:eastAsia="仿宋_GB2312" w:cs="仿宋_GB2312"/>
          <w:sz w:val="32"/>
          <w:szCs w:val="32"/>
          <w:lang w:val="en-US" w:eastAsia="zh-CN"/>
        </w:rPr>
        <w:t>市房产</w:t>
      </w:r>
      <w:r>
        <w:rPr>
          <w:rFonts w:hint="eastAsia" w:ascii="仿宋_GB2312" w:hAnsi="仿宋_GB2312" w:eastAsia="仿宋_GB2312" w:cs="仿宋_GB2312"/>
          <w:sz w:val="32"/>
          <w:szCs w:val="32"/>
        </w:rPr>
        <w:t>局会同市发改委成立工作专班，按照“一张网”要求编制《沈阳市城市民用供热规划方案》。期间，分别向曹鹏秘书长、忠昆副市长、旭辉副市长、新伟市长进行了汇报。同时，征求市自然资源局、生态局、发改委、城乡建设局及燃气公司、电力公司意见。并按照市政府常务会议议题审核程序有关规定，履行了公众参与、专家论证、风险评估、合法性审查和内部集体讨论等程序。2021年12月10日经政府常务会议审议，原则性通过。根据全市“十四五”规划编制体系统一安排，2022年2月11日以市政府名义发布。经与市发改委规划处沟通，按照“十四五”规划的相关要求，“规划”名称调整为《沈阳市“十四五”城市民用供热规划》。</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四、整改任务整改目标完成情况</w:t>
      </w:r>
    </w:p>
    <w:p>
      <w:pPr>
        <w:pStyle w:val="2"/>
        <w:keepNext w:val="0"/>
        <w:keepLines w:val="0"/>
        <w:pageBreakBefore w:val="0"/>
        <w:widowControl w:val="0"/>
        <w:kinsoku/>
        <w:wordWrap/>
        <w:overflowPunct/>
        <w:topLinePunct w:val="0"/>
        <w:autoSpaceDE/>
        <w:autoSpaceDN/>
        <w:bidi w:val="0"/>
        <w:adjustRightInd/>
        <w:spacing w:line="58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整改目标：</w:t>
      </w:r>
      <w:r>
        <w:rPr>
          <w:rFonts w:hint="eastAsia" w:ascii="仿宋_GB2312" w:hAnsi="仿宋_GB2312" w:eastAsia="仿宋_GB2312" w:cs="仿宋_GB2312"/>
          <w:sz w:val="32"/>
          <w:szCs w:val="32"/>
          <w:lang w:val="en-US" w:eastAsia="zh-CN"/>
        </w:rPr>
        <w:t>优良天数比例逐年达到国家、省目标要求</w:t>
      </w:r>
    </w:p>
    <w:p>
      <w:pPr>
        <w:pStyle w:val="2"/>
        <w:keepNext w:val="0"/>
        <w:keepLines w:val="0"/>
        <w:pageBreakBefore w:val="0"/>
        <w:widowControl w:val="0"/>
        <w:kinsoku/>
        <w:wordWrap/>
        <w:overflowPunct/>
        <w:topLinePunct w:val="0"/>
        <w:autoSpaceDE/>
        <w:autoSpaceDN/>
        <w:bidi w:val="0"/>
        <w:adjustRightInd/>
        <w:spacing w:line="580" w:lineRule="exact"/>
        <w:ind w:firstLine="640" w:firstLineChars="200"/>
        <w:jc w:val="both"/>
        <w:textAlignment w:val="auto"/>
      </w:pPr>
      <w:r>
        <w:rPr>
          <w:rFonts w:hint="eastAsia" w:ascii="仿宋_GB2312" w:hAnsi="仿宋_GB2312" w:eastAsia="仿宋_GB2312" w:cs="仿宋_GB2312"/>
          <w:sz w:val="32"/>
          <w:szCs w:val="32"/>
          <w:lang w:val="en-US" w:eastAsia="zh-CN"/>
        </w:rPr>
        <w:t>沈阳市房产局</w:t>
      </w:r>
      <w:r>
        <w:rPr>
          <w:rFonts w:hint="eastAsia" w:ascii="仿宋_GB2312" w:hAnsi="仿宋_GB2312" w:eastAsia="仿宋_GB2312" w:cs="仿宋_GB2312"/>
          <w:sz w:val="32"/>
          <w:szCs w:val="32"/>
        </w:rPr>
        <w:t>按照《沈阳市中央生态环境保护督察整改方案》进行整改后，完成了民用燃煤锅炉的淘汰和改造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热电联产机组供热半径30公里范围内5台民用供热燃煤锅炉关停整合</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工作任务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优化了供热结构，优良天数比例达到国家、省要求</w:t>
      </w:r>
      <w:r>
        <w:rPr>
          <w:rFonts w:hint="eastAsia" w:ascii="仿宋_GB2312" w:hAnsi="仿宋_GB2312" w:eastAsia="仿宋_GB2312" w:cs="仿宋_GB2312"/>
          <w:sz w:val="32"/>
          <w:szCs w:val="32"/>
        </w:rPr>
        <w:t>，整改目标完成。</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五、佐证材料与整改措施对应情况</w:t>
      </w:r>
    </w:p>
    <w:p>
      <w:pPr>
        <w:pStyle w:val="2"/>
        <w:keepNext w:val="0"/>
        <w:keepLines w:val="0"/>
        <w:pageBreakBefore w:val="0"/>
        <w:widowControl w:val="0"/>
        <w:kinsoku/>
        <w:wordWrap/>
        <w:overflowPunct/>
        <w:topLinePunct w:val="0"/>
        <w:autoSpaceDE/>
        <w:autoSpaceDN/>
        <w:bidi w:val="0"/>
        <w:adjustRightInd/>
        <w:spacing w:line="580" w:lineRule="exact"/>
        <w:ind w:firstLine="640" w:firstLineChars="200"/>
        <w:jc w:val="both"/>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1.整改措施</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：沈阳市</w:t>
      </w:r>
      <w:r>
        <w:rPr>
          <w:rFonts w:hint="eastAsia" w:ascii="仿宋_GB2312" w:hAnsi="仿宋_GB2312" w:eastAsia="仿宋_GB2312" w:cs="仿宋_GB2312"/>
          <w:sz w:val="32"/>
          <w:szCs w:val="32"/>
          <w:lang w:val="en-US" w:eastAsia="zh-CN"/>
        </w:rPr>
        <w:t>房产局</w:t>
      </w:r>
      <w:r>
        <w:rPr>
          <w:rFonts w:hint="eastAsia" w:ascii="仿宋_GB2312" w:hAnsi="仿宋_GB2312" w:eastAsia="仿宋_GB2312" w:cs="仿宋_GB2312"/>
          <w:sz w:val="32"/>
          <w:szCs w:val="32"/>
        </w:rPr>
        <w:t>提供了关于印发《2021年淘汰和改造民用燃煤供热锅炉工作方案》的函</w:t>
      </w:r>
      <w:r>
        <w:rPr>
          <w:rFonts w:hint="eastAsia" w:ascii="仿宋_GB2312" w:hAnsi="仿宋_GB2312" w:eastAsia="仿宋_GB2312" w:cs="仿宋_GB2312"/>
          <w:sz w:val="32"/>
          <w:szCs w:val="32"/>
          <w:lang w:eastAsia="zh-CN"/>
        </w:rPr>
        <w:t>，2021年淘汰和改造民用燃煤供热锅炉统计表(20-40吨不含40)，2021年淘汰和改造20吨及以下民用燃煤供热锅炉明细表，</w:t>
      </w:r>
      <w:r>
        <w:rPr>
          <w:rFonts w:hint="eastAsia" w:ascii="仿宋_GB2312" w:hAnsi="仿宋_GB2312" w:eastAsia="仿宋_GB2312" w:cs="仿宋_GB2312"/>
          <w:sz w:val="32"/>
          <w:szCs w:val="32"/>
          <w:lang w:val="en-US" w:eastAsia="zh-CN"/>
        </w:rPr>
        <w:t>淘汰和改造民用燃煤供热锅炉工程开工报告、竣工报告、改造照片等</w:t>
      </w:r>
      <w:r>
        <w:rPr>
          <w:rFonts w:hint="eastAsia" w:ascii="仿宋_GB2312" w:hAnsi="仿宋_GB2312" w:eastAsia="仿宋_GB2312" w:cs="仿宋_GB2312"/>
          <w:sz w:val="32"/>
          <w:szCs w:val="32"/>
        </w:rPr>
        <w:t>材料予以佐证，佐证材料与整改措施1相对应。</w:t>
      </w:r>
    </w:p>
    <w:p>
      <w:pPr>
        <w:pStyle w:val="2"/>
        <w:keepNext w:val="0"/>
        <w:keepLines w:val="0"/>
        <w:pageBreakBefore w:val="0"/>
        <w:widowControl w:val="0"/>
        <w:kinsoku/>
        <w:wordWrap/>
        <w:overflowPunct/>
        <w:topLinePunct w:val="0"/>
        <w:autoSpaceDE/>
        <w:autoSpaceDN/>
        <w:bidi w:val="0"/>
        <w:adjustRightIn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2.整改措施</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：沈阳市</w:t>
      </w:r>
      <w:r>
        <w:rPr>
          <w:rFonts w:hint="eastAsia" w:ascii="仿宋_GB2312" w:hAnsi="仿宋_GB2312" w:eastAsia="仿宋_GB2312" w:cs="仿宋_GB2312"/>
          <w:sz w:val="32"/>
          <w:szCs w:val="32"/>
          <w:lang w:val="en-US" w:eastAsia="zh-CN"/>
        </w:rPr>
        <w:t>房产局</w:t>
      </w:r>
      <w:r>
        <w:rPr>
          <w:rFonts w:hint="eastAsia" w:ascii="仿宋_GB2312" w:hAnsi="仿宋_GB2312" w:eastAsia="仿宋_GB2312" w:cs="仿宋_GB2312"/>
          <w:sz w:val="32"/>
          <w:szCs w:val="32"/>
        </w:rPr>
        <w:t>提供了沈阳市热电联产机组供热半径30公里范围内供暖燃煤锅炉关停整合计划清单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沈阳市和融热力热电联产机组供热半径30公里范围内供暖燃煤锅炉关停整合资料</w:t>
      </w:r>
      <w:r>
        <w:rPr>
          <w:rFonts w:hint="eastAsia" w:ascii="仿宋_GB2312" w:hAnsi="仿宋_GB2312" w:eastAsia="仿宋_GB2312" w:cs="仿宋_GB2312"/>
          <w:sz w:val="32"/>
          <w:szCs w:val="32"/>
          <w:lang w:eastAsia="zh-CN"/>
        </w:rPr>
        <w:t>、沈阳市浑南热力热电联产机组供热半径30公里范围内供暖燃煤锅炉关停整合资料、沈阳市圣达热力热电联产机组供热半径30公里范围内供暖燃煤锅炉关停整合资料</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材料予以佐证，佐证材料与整改措施</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相对应。</w:t>
      </w:r>
    </w:p>
    <w:p>
      <w:pPr>
        <w:pStyle w:val="2"/>
        <w:keepNext w:val="0"/>
        <w:keepLines w:val="0"/>
        <w:pageBreakBefore w:val="0"/>
        <w:widowControl w:val="0"/>
        <w:kinsoku/>
        <w:wordWrap/>
        <w:overflowPunct/>
        <w:topLinePunct w:val="0"/>
        <w:autoSpaceDE/>
        <w:autoSpaceDN/>
        <w:bidi w:val="0"/>
        <w:adjustRightInd/>
        <w:spacing w:line="58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.整改措施</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：沈阳市</w:t>
      </w:r>
      <w:r>
        <w:rPr>
          <w:rFonts w:hint="eastAsia" w:ascii="仿宋_GB2312" w:hAnsi="仿宋_GB2312" w:eastAsia="仿宋_GB2312" w:cs="仿宋_GB2312"/>
          <w:sz w:val="32"/>
          <w:szCs w:val="32"/>
          <w:lang w:val="en-US" w:eastAsia="zh-CN"/>
        </w:rPr>
        <w:t>房产局</w:t>
      </w:r>
      <w:r>
        <w:rPr>
          <w:rFonts w:hint="eastAsia" w:ascii="仿宋_GB2312" w:hAnsi="仿宋_GB2312" w:eastAsia="仿宋_GB2312" w:cs="仿宋_GB2312"/>
          <w:sz w:val="32"/>
          <w:szCs w:val="32"/>
        </w:rPr>
        <w:t>提供了关于对2月2日新伟市长听取相关部门汇报期间部署事项进行任务分解的通知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关于印发《辽宁省城市供热专项供热规划编制纲要》的通知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各部门、各单位反馈意见协调处理情况表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关于《沈阳市城市民用供热规划方案（2021-2030）规划文本（讨论稿）》的合法性审核意见</w:t>
      </w:r>
      <w:r>
        <w:rPr>
          <w:rFonts w:hint="eastAsia" w:ascii="仿宋_GB2312" w:hAnsi="仿宋_GB2312" w:eastAsia="仿宋_GB2312" w:cs="仿宋_GB2312"/>
          <w:sz w:val="32"/>
          <w:szCs w:val="32"/>
          <w:lang w:eastAsia="zh-CN"/>
        </w:rPr>
        <w:t>、</w:t>
      </w:r>
    </w:p>
    <w:p>
      <w:pPr>
        <w:pStyle w:val="2"/>
        <w:keepNext w:val="0"/>
        <w:keepLines w:val="0"/>
        <w:pageBreakBefore w:val="0"/>
        <w:widowControl w:val="0"/>
        <w:kinsoku/>
        <w:wordWrap/>
        <w:overflowPunct/>
        <w:topLinePunct w:val="0"/>
        <w:autoSpaceDE/>
        <w:autoSpaceDN/>
        <w:bidi w:val="0"/>
        <w:adjustRightIn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市司法局关于对《沈阳市城市民用供热规划方案（2021-2030）》的合法性审查意见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《沈阳市城市民用供热规划方案》社会稳定风险评估意见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沈阳市房产局党组扩大会议纪要（供热规划）</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市领导批示 市房产局关于呈报《沈阳市城市民用供热规划方案（2021-2030年）》的报告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市政府常务会议纪要第121次(供热规划）</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沈阳市“十四五”城市民用供热规划（沈阳市房产局公文处理单）</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材料予以佐证，佐证材料与整改措施</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相对应。</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六、下步工作要求</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sz w:val="32"/>
          <w:szCs w:val="32"/>
          <w:lang w:val="en-US" w:eastAsia="zh-CN"/>
        </w:rPr>
        <w:t>优化供热结构，提高供热效率，促进空气质量改善，</w:t>
      </w:r>
      <w:r>
        <w:rPr>
          <w:rFonts w:hint="eastAsia" w:ascii="仿宋_GB2312" w:hAnsi="仿宋_GB2312" w:eastAsia="仿宋_GB2312" w:cs="仿宋_GB2312"/>
          <w:kern w:val="2"/>
          <w:sz w:val="32"/>
          <w:szCs w:val="32"/>
          <w:lang w:val="en-US" w:eastAsia="zh-CN"/>
        </w:rPr>
        <w:t>提高优良天气比例。</w:t>
      </w:r>
    </w:p>
    <w:p>
      <w:pPr>
        <w:keepNext w:val="0"/>
        <w:keepLines w:val="0"/>
        <w:pageBreakBefore w:val="0"/>
        <w:widowControl w:val="0"/>
        <w:tabs>
          <w:tab w:val="left" w:pos="7106"/>
        </w:tabs>
        <w:kinsoku/>
        <w:wordWrap/>
        <w:overflowPunct/>
        <w:topLinePunct w:val="0"/>
        <w:autoSpaceDE/>
        <w:autoSpaceDN/>
        <w:bidi w:val="0"/>
        <w:adjustRightInd/>
        <w:spacing w:line="580" w:lineRule="exact"/>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rPr>
        <w:t>七、验收结论</w:t>
      </w:r>
      <w:r>
        <w:rPr>
          <w:rFonts w:hint="eastAsia" w:ascii="黑体" w:hAnsi="黑体" w:eastAsia="黑体" w:cs="黑体"/>
          <w:sz w:val="32"/>
          <w:szCs w:val="32"/>
          <w:lang w:eastAsia="zh-CN"/>
        </w:rPr>
        <w:tab/>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沈阳市</w:t>
      </w:r>
      <w:r>
        <w:rPr>
          <w:rFonts w:hint="eastAsia" w:ascii="仿宋_GB2312" w:hAnsi="仿宋_GB2312" w:eastAsia="仿宋_GB2312" w:cs="仿宋_GB2312"/>
          <w:sz w:val="32"/>
          <w:szCs w:val="32"/>
          <w:lang w:val="en-US" w:eastAsia="zh-CN"/>
        </w:rPr>
        <w:t>房产局</w:t>
      </w:r>
      <w:r>
        <w:rPr>
          <w:rFonts w:hint="eastAsia" w:ascii="仿宋_GB2312" w:hAnsi="仿宋_GB2312" w:eastAsia="仿宋_GB2312" w:cs="仿宋_GB2312"/>
          <w:sz w:val="32"/>
          <w:szCs w:val="32"/>
        </w:rPr>
        <w:t>已完成《沈阳市中央生态环境保护督察整改方案》中第</w:t>
      </w:r>
      <w:r>
        <w:rPr>
          <w:rFonts w:hint="eastAsia" w:ascii="仿宋_GB2312" w:hAnsi="仿宋_GB2312" w:eastAsia="仿宋_GB2312" w:cs="仿宋_GB2312"/>
          <w:sz w:val="32"/>
          <w:szCs w:val="32"/>
          <w:lang w:val="en-US" w:eastAsia="zh-CN"/>
        </w:rPr>
        <w:t>六</w:t>
      </w:r>
      <w:r>
        <w:rPr>
          <w:rFonts w:hint="eastAsia" w:ascii="仿宋_GB2312" w:hAnsi="仿宋_GB2312" w:eastAsia="仿宋_GB2312" w:cs="仿宋_GB2312"/>
          <w:sz w:val="32"/>
          <w:szCs w:val="32"/>
        </w:rPr>
        <w:t>项整改任务，通过验收。</w:t>
      </w:r>
    </w:p>
    <w:p/>
    <w:p>
      <w:pPr>
        <w:pStyle w:val="2"/>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p>
    <w:p>
      <w:pPr>
        <w:pStyle w:val="2"/>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市生态环境保护督察及“回头看”整改工作</w:t>
      </w:r>
    </w:p>
    <w:p>
      <w:pPr>
        <w:pStyle w:val="2"/>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领导小组</w:t>
      </w:r>
      <w:r>
        <w:rPr>
          <w:rFonts w:hint="eastAsia" w:ascii="仿宋_GB2312" w:hAnsi="仿宋_GB2312" w:eastAsia="仿宋_GB2312" w:cs="仿宋_GB2312"/>
          <w:sz w:val="32"/>
          <w:szCs w:val="32"/>
          <w:lang w:val="en-US" w:eastAsia="zh-CN"/>
        </w:rPr>
        <w:t>办公室</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2022年</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日</w:t>
      </w:r>
      <w:bookmarkStart w:id="0" w:name="_GoBack"/>
      <w:bookmarkEnd w:id="0"/>
    </w:p>
    <w:p/>
    <w:sectPr>
      <w:footerReference r:id="rId3" w:type="default"/>
      <w:pgSz w:w="11906" w:h="16838"/>
      <w:pgMar w:top="1871" w:right="1474" w:bottom="1985" w:left="1588" w:header="0" w:footer="1588"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A6ABB"/>
    <w:multiLevelType w:val="singleLevel"/>
    <w:tmpl w:val="811A6AB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5MmRmMmU1MjlkODUzNjA0NWRmMzA3NTU2MWIzM2QifQ=="/>
  </w:docVars>
  <w:rsids>
    <w:rsidRoot w:val="006E11C4"/>
    <w:rsid w:val="0003636F"/>
    <w:rsid w:val="001547C4"/>
    <w:rsid w:val="001B1AEE"/>
    <w:rsid w:val="00351470"/>
    <w:rsid w:val="004E4D84"/>
    <w:rsid w:val="005104A8"/>
    <w:rsid w:val="005412A3"/>
    <w:rsid w:val="005F1243"/>
    <w:rsid w:val="006422E6"/>
    <w:rsid w:val="006E11C4"/>
    <w:rsid w:val="008E7C56"/>
    <w:rsid w:val="008F1787"/>
    <w:rsid w:val="00BE53DD"/>
    <w:rsid w:val="00CA4E62"/>
    <w:rsid w:val="00CC0A31"/>
    <w:rsid w:val="00D66934"/>
    <w:rsid w:val="00EB6217"/>
    <w:rsid w:val="00FF6277"/>
    <w:rsid w:val="02F6727C"/>
    <w:rsid w:val="054D27CE"/>
    <w:rsid w:val="066852B2"/>
    <w:rsid w:val="07BD69FF"/>
    <w:rsid w:val="08086FEB"/>
    <w:rsid w:val="08800329"/>
    <w:rsid w:val="09FA3E37"/>
    <w:rsid w:val="0B8C61EE"/>
    <w:rsid w:val="0EBF68D9"/>
    <w:rsid w:val="0ED331F2"/>
    <w:rsid w:val="10102D9D"/>
    <w:rsid w:val="11CA68C9"/>
    <w:rsid w:val="129F0AAB"/>
    <w:rsid w:val="12D276EE"/>
    <w:rsid w:val="14504752"/>
    <w:rsid w:val="14C620BA"/>
    <w:rsid w:val="14D42C8D"/>
    <w:rsid w:val="174A4797"/>
    <w:rsid w:val="17FA08B8"/>
    <w:rsid w:val="18862DA3"/>
    <w:rsid w:val="19886DEA"/>
    <w:rsid w:val="1C592354"/>
    <w:rsid w:val="1EF72F4E"/>
    <w:rsid w:val="1F0B499C"/>
    <w:rsid w:val="20F71B30"/>
    <w:rsid w:val="21964095"/>
    <w:rsid w:val="22231C17"/>
    <w:rsid w:val="22D967D2"/>
    <w:rsid w:val="24654801"/>
    <w:rsid w:val="2627178D"/>
    <w:rsid w:val="268F673F"/>
    <w:rsid w:val="27C81FF6"/>
    <w:rsid w:val="2973596A"/>
    <w:rsid w:val="2ADE61BC"/>
    <w:rsid w:val="2CA75FCB"/>
    <w:rsid w:val="2E6860D9"/>
    <w:rsid w:val="2F2335B7"/>
    <w:rsid w:val="323D7C6C"/>
    <w:rsid w:val="360D2522"/>
    <w:rsid w:val="37C94331"/>
    <w:rsid w:val="3878161F"/>
    <w:rsid w:val="3AB43830"/>
    <w:rsid w:val="3ACC3E45"/>
    <w:rsid w:val="3D0D2931"/>
    <w:rsid w:val="41BE5424"/>
    <w:rsid w:val="440A514E"/>
    <w:rsid w:val="45425024"/>
    <w:rsid w:val="479003E6"/>
    <w:rsid w:val="4A385C10"/>
    <w:rsid w:val="4A703634"/>
    <w:rsid w:val="4CD65721"/>
    <w:rsid w:val="4E1D0AA4"/>
    <w:rsid w:val="4F9902D0"/>
    <w:rsid w:val="4FDE7C52"/>
    <w:rsid w:val="506F76E3"/>
    <w:rsid w:val="53215E4A"/>
    <w:rsid w:val="56AD12B1"/>
    <w:rsid w:val="57862653"/>
    <w:rsid w:val="58200D77"/>
    <w:rsid w:val="58A7101C"/>
    <w:rsid w:val="5C200124"/>
    <w:rsid w:val="5DC71EBE"/>
    <w:rsid w:val="6003131B"/>
    <w:rsid w:val="60312BAA"/>
    <w:rsid w:val="60EC5613"/>
    <w:rsid w:val="61462E49"/>
    <w:rsid w:val="62291D7D"/>
    <w:rsid w:val="626856B1"/>
    <w:rsid w:val="67D50579"/>
    <w:rsid w:val="68BC68A3"/>
    <w:rsid w:val="69AF3A2E"/>
    <w:rsid w:val="69EC7F49"/>
    <w:rsid w:val="6A007373"/>
    <w:rsid w:val="6A221153"/>
    <w:rsid w:val="6AC7305C"/>
    <w:rsid w:val="6B00609A"/>
    <w:rsid w:val="6C8D0EA6"/>
    <w:rsid w:val="6E5B60C7"/>
    <w:rsid w:val="6E90029F"/>
    <w:rsid w:val="708C1373"/>
    <w:rsid w:val="720B2A01"/>
    <w:rsid w:val="74AB2594"/>
    <w:rsid w:val="7BA63D36"/>
    <w:rsid w:val="7C641CCE"/>
    <w:rsid w:val="7CE17FD9"/>
    <w:rsid w:val="7CF12391"/>
    <w:rsid w:val="7E8B6E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next w:val="1"/>
    <w:qFormat/>
    <w:uiPriority w:val="0"/>
    <w:pPr>
      <w:widowControl w:val="0"/>
      <w:spacing w:before="100" w:beforeAutospacing="1" w:after="100" w:afterAutospacing="1"/>
      <w:outlineLvl w:val="2"/>
    </w:pPr>
    <w:rPr>
      <w:rFonts w:hint="eastAsia" w:ascii="宋体" w:hAnsi="宋体" w:eastAsia="宋体" w:cs="Times New Roman"/>
      <w:b/>
      <w:sz w:val="27"/>
      <w:szCs w:val="27"/>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4">
    <w:name w:val="Normal Indent"/>
    <w:basedOn w:val="1"/>
    <w:qFormat/>
    <w:uiPriority w:val="0"/>
    <w:pPr>
      <w:ind w:firstLine="420" w:firstLineChars="200"/>
    </w:pPr>
  </w:style>
  <w:style w:type="paragraph" w:styleId="5">
    <w:name w:val="annotation text"/>
    <w:basedOn w:val="1"/>
    <w:link w:val="14"/>
    <w:qFormat/>
    <w:uiPriority w:val="0"/>
    <w:pPr>
      <w:jc w:val="left"/>
    </w:pPr>
  </w:style>
  <w:style w:type="paragraph" w:styleId="6">
    <w:name w:val="Date"/>
    <w:basedOn w:val="1"/>
    <w:next w:val="1"/>
    <w:link w:val="17"/>
    <w:qFormat/>
    <w:uiPriority w:val="0"/>
    <w:pPr>
      <w:ind w:left="100" w:leftChars="2500"/>
    </w:pPr>
  </w:style>
  <w:style w:type="paragraph" w:styleId="7">
    <w:name w:val="Balloon Text"/>
    <w:basedOn w:val="1"/>
    <w:link w:val="16"/>
    <w:qFormat/>
    <w:uiPriority w:val="0"/>
    <w:rPr>
      <w:sz w:val="18"/>
      <w:szCs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Normal (Web)"/>
    <w:basedOn w:val="1"/>
    <w:qFormat/>
    <w:uiPriority w:val="0"/>
    <w:pPr>
      <w:spacing w:beforeAutospacing="1" w:afterAutospacing="1"/>
      <w:jc w:val="left"/>
    </w:pPr>
    <w:rPr>
      <w:rFonts w:cs="Times New Roman"/>
      <w:kern w:val="0"/>
      <w:sz w:val="24"/>
    </w:rPr>
  </w:style>
  <w:style w:type="paragraph" w:styleId="10">
    <w:name w:val="annotation subject"/>
    <w:basedOn w:val="5"/>
    <w:next w:val="5"/>
    <w:link w:val="15"/>
    <w:qFormat/>
    <w:uiPriority w:val="0"/>
    <w:rPr>
      <w:b/>
      <w:bCs/>
    </w:rPr>
  </w:style>
  <w:style w:type="character" w:styleId="13">
    <w:name w:val="annotation reference"/>
    <w:basedOn w:val="12"/>
    <w:qFormat/>
    <w:uiPriority w:val="0"/>
    <w:rPr>
      <w:sz w:val="21"/>
      <w:szCs w:val="21"/>
    </w:rPr>
  </w:style>
  <w:style w:type="character" w:customStyle="1" w:styleId="14">
    <w:name w:val="批注文字 Char"/>
    <w:basedOn w:val="12"/>
    <w:link w:val="5"/>
    <w:qFormat/>
    <w:uiPriority w:val="0"/>
    <w:rPr>
      <w:rFonts w:asciiTheme="minorHAnsi" w:hAnsiTheme="minorHAnsi" w:eastAsiaTheme="minorEastAsia" w:cstheme="minorBidi"/>
      <w:kern w:val="2"/>
      <w:sz w:val="21"/>
      <w:szCs w:val="24"/>
    </w:rPr>
  </w:style>
  <w:style w:type="character" w:customStyle="1" w:styleId="15">
    <w:name w:val="批注主题 Char"/>
    <w:basedOn w:val="14"/>
    <w:link w:val="10"/>
    <w:qFormat/>
    <w:uiPriority w:val="0"/>
    <w:rPr>
      <w:rFonts w:asciiTheme="minorHAnsi" w:hAnsiTheme="minorHAnsi" w:eastAsiaTheme="minorEastAsia" w:cstheme="minorBidi"/>
      <w:b/>
      <w:bCs/>
      <w:kern w:val="2"/>
      <w:sz w:val="21"/>
      <w:szCs w:val="24"/>
    </w:rPr>
  </w:style>
  <w:style w:type="character" w:customStyle="1" w:styleId="16">
    <w:name w:val="批注框文本 Char"/>
    <w:basedOn w:val="12"/>
    <w:link w:val="7"/>
    <w:qFormat/>
    <w:uiPriority w:val="0"/>
    <w:rPr>
      <w:rFonts w:asciiTheme="minorHAnsi" w:hAnsiTheme="minorHAnsi" w:eastAsiaTheme="minorEastAsia" w:cstheme="minorBidi"/>
      <w:kern w:val="2"/>
      <w:sz w:val="18"/>
      <w:szCs w:val="18"/>
    </w:rPr>
  </w:style>
  <w:style w:type="character" w:customStyle="1" w:styleId="17">
    <w:name w:val="日期 Char"/>
    <w:basedOn w:val="12"/>
    <w:link w:val="6"/>
    <w:qFormat/>
    <w:uiPriority w:val="0"/>
    <w:rPr>
      <w:rFonts w:asciiTheme="minorHAnsi" w:hAnsiTheme="minorHAnsi" w:eastAsiaTheme="minorEastAsia" w:cstheme="minorBidi"/>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1197</Words>
  <Characters>1299</Characters>
  <Lines>14</Lines>
  <Paragraphs>3</Paragraphs>
  <TotalTime>16</TotalTime>
  <ScaleCrop>false</ScaleCrop>
  <LinksUpToDate>false</LinksUpToDate>
  <CharactersWithSpaces>1327</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2022-03-14T02:42:00Z</dcterms:created>
  <dc:creator>Administrator</dc:creator>
  <cp:lastModifiedBy>王申川</cp:lastModifiedBy>
  <cp:lastPrinted>2022-06-13T02:42:00Z</cp:lastPrinted>
  <dcterms:modified xsi:type="dcterms:W3CDTF">2022-12-06T02:30:22Z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3FD3E4D85F46420AA9C6EADF03C899D2</vt:lpwstr>
  </property>
</Properties>
</file>