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inorEastAsia" w:hAnsiTheme="minorEastAsia"/>
          <w:b/>
          <w:bCs/>
          <w:sz w:val="44"/>
          <w:szCs w:val="44"/>
        </w:rPr>
      </w:pPr>
    </w:p>
    <w:p>
      <w:pPr>
        <w:jc w:val="both"/>
        <w:rPr>
          <w:rFonts w:hint="eastAsia" w:asciiTheme="minorEastAsia" w:hAnsiTheme="minorEastAsia"/>
          <w:b/>
          <w:bCs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沈阳市房产局202</w:t>
      </w:r>
      <w:r>
        <w:rPr>
          <w:rFonts w:hint="eastAsia" w:asciiTheme="minorEastAsia" w:hAnsiTheme="min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sz w:val="44"/>
          <w:szCs w:val="44"/>
        </w:rPr>
        <w:t>年政府信息</w:t>
      </w:r>
    </w:p>
    <w:p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公开工作</w:t>
      </w:r>
      <w:r>
        <w:rPr>
          <w:rFonts w:hint="eastAsia" w:asciiTheme="minorEastAsia" w:hAnsiTheme="minorEastAsia"/>
          <w:b/>
          <w:bCs/>
          <w:sz w:val="44"/>
          <w:szCs w:val="44"/>
          <w:lang w:eastAsia="zh-CN"/>
        </w:rPr>
        <w:t>年度</w:t>
      </w:r>
      <w:r>
        <w:rPr>
          <w:rFonts w:hint="eastAsia" w:asciiTheme="minorEastAsia" w:hAnsiTheme="minorEastAsia"/>
          <w:b/>
          <w:bCs/>
          <w:sz w:val="44"/>
          <w:szCs w:val="44"/>
        </w:rPr>
        <w:t>报告</w:t>
      </w:r>
    </w:p>
    <w:p>
      <w:pPr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/>
          <w:b/>
          <w:bCs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根据《中华人民共和国政府信息公开条例》规定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，现公布沈阳市房产局2024年政府信息公开工作年度报告。报告数据统计期限为2024年1月1日至2024年12月31日。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2024年，沈阳市房产局认真落实沈阳市2024年政务公开工作要求，以政务公开工作为抓手，保障了人民群众的知情权、参与权、监督权，有力提高了政府信息和政务公开的质量和实效。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全年主动公开信息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2066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：机</w:t>
      </w:r>
      <w:r>
        <w:rPr>
          <w:rFonts w:hint="eastAsia" w:ascii="仿宋_GB2312" w:hAnsi="仿宋_GB2312" w:eastAsia="仿宋_GB2312" w:cs="仿宋_GB2312"/>
          <w:sz w:val="32"/>
          <w:szCs w:val="32"/>
        </w:rPr>
        <w:t>关简介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条，部门会议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条，意见征集及采纳情况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条，财政预决算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条，重大民生信息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条，建议提案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条，人事信息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条，行政执法与市场监督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条，政策法规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条，政务公开指南1条，政务公开制度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1897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（二）依申请公开情况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。局网站建立了依申请公开政府信息的机制，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年共收到依申请公开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626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其中自然人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623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件，商业企业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件。申请办结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592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。行政复议11件，其中结果维持5件，其他结果2件，尚未审结4件；行政诉讼14件，其中结果维持7件，其他结果1件，尚未审结6件。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（三）政府信息管理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《沈阳市房产局政务信息公开考核制度》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《沈阳市房产局依申请公开政务信息制度》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。加强信息公开前保密审查，确保信息公开依法依规、有序推进，夯实了政务信息公开工作的基础。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进一步规范公文公开属性认定工作和发布审查工作机制，严把文件审核关，完善文件审签流程。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（四）平台建设情况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强化对政府网站相关栏目、政务公开目录的内容维护，定期回顾排查发布内容情况，确保政务公开内容“零错误”。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（五）监督保障机制情况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将政务公开工作纳入对各部门的考核范畴，围绕政务公开，加大考核力度，提升主动公开、依申请公开等工作，定期对政务公开工作进行考核和评议。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6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1540"/>
        <w:gridCol w:w="1441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6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信息内容</w:t>
            </w: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本年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制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发件数</w:t>
            </w:r>
          </w:p>
        </w:tc>
        <w:tc>
          <w:tcPr>
            <w:tcW w:w="14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本年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废止件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数</w:t>
            </w:r>
          </w:p>
        </w:tc>
        <w:tc>
          <w:tcPr>
            <w:tcW w:w="24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73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规章</w:t>
            </w: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0</w:t>
            </w:r>
          </w:p>
        </w:tc>
        <w:tc>
          <w:tcPr>
            <w:tcW w:w="14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0</w:t>
            </w:r>
          </w:p>
        </w:tc>
        <w:tc>
          <w:tcPr>
            <w:tcW w:w="24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173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行政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规范性文件</w:t>
            </w: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44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4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信息内容</w:t>
            </w:r>
          </w:p>
        </w:tc>
        <w:tc>
          <w:tcPr>
            <w:tcW w:w="53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本年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173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行政许可</w:t>
            </w:r>
          </w:p>
        </w:tc>
        <w:tc>
          <w:tcPr>
            <w:tcW w:w="53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信息内容</w:t>
            </w:r>
          </w:p>
        </w:tc>
        <w:tc>
          <w:tcPr>
            <w:tcW w:w="53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本年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73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53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73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53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信息内容</w:t>
            </w:r>
          </w:p>
        </w:tc>
        <w:tc>
          <w:tcPr>
            <w:tcW w:w="53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73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53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0</w:t>
            </w:r>
          </w:p>
        </w:tc>
      </w:tr>
    </w:tbl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297"/>
        <w:gridCol w:w="2064"/>
        <w:gridCol w:w="635"/>
        <w:gridCol w:w="574"/>
        <w:gridCol w:w="574"/>
        <w:gridCol w:w="653"/>
        <w:gridCol w:w="657"/>
        <w:gridCol w:w="495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自然人</w:t>
            </w:r>
          </w:p>
        </w:tc>
        <w:tc>
          <w:tcPr>
            <w:tcW w:w="294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法人或其他组织</w:t>
            </w:r>
          </w:p>
        </w:tc>
        <w:tc>
          <w:tcPr>
            <w:tcW w:w="59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gridSpan w:val="3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商业企业</w:t>
            </w:r>
          </w:p>
        </w:tc>
        <w:tc>
          <w:tcPr>
            <w:tcW w:w="574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科研机构</w:t>
            </w:r>
          </w:p>
        </w:tc>
        <w:tc>
          <w:tcPr>
            <w:tcW w:w="653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社会公益组织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法律服务机构</w:t>
            </w:r>
          </w:p>
        </w:tc>
        <w:tc>
          <w:tcPr>
            <w:tcW w:w="49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其他</w:t>
            </w:r>
          </w:p>
        </w:tc>
        <w:tc>
          <w:tcPr>
            <w:tcW w:w="596" w:type="dxa"/>
            <w:vMerge w:val="continue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gridSpan w:val="3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一、本年新收到政府信息公开申请数量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623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gridSpan w:val="3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二、上年结转政府信息公开数量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三、本年度办理结果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（一）予以公开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114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（三）不予公开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1.属于国家秘密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2.其他法律行政法规禁止公开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3.危机“三安全一稳定”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4.保护第三方合法权益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5.属于三类内部事务信息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6.属于四类过程性信息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7.属于行政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执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法案卷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8.属于行政查询事项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（四）无法提供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1.本机关不掌握相关政府信息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423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2.没有现成信息需另行制作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3.补正后申请内容仍不明确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（五）不予处理</w:t>
            </w:r>
          </w:p>
        </w:tc>
        <w:tc>
          <w:tcPr>
            <w:tcW w:w="0" w:type="auto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1.信访举报投诉类申请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2.重复申请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40" w:lineRule="auto"/>
              <w:jc w:val="both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3.要求提供公开出版物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40" w:lineRule="auto"/>
              <w:jc w:val="both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4.无正当理由大量反复申请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40" w:lineRule="auto"/>
              <w:jc w:val="both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其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他处理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3.其他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（七）总计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599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四、结转下年度继续办理</w:t>
            </w:r>
          </w:p>
        </w:tc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34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left="640" w:leftChars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政府信息公开行政复议、行政诉讼情况</w:t>
      </w:r>
    </w:p>
    <w:tbl>
      <w:tblPr>
        <w:tblStyle w:val="6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540"/>
        <w:gridCol w:w="525"/>
        <w:gridCol w:w="615"/>
        <w:gridCol w:w="555"/>
        <w:gridCol w:w="600"/>
        <w:gridCol w:w="585"/>
        <w:gridCol w:w="570"/>
        <w:gridCol w:w="540"/>
        <w:gridCol w:w="495"/>
        <w:gridCol w:w="600"/>
        <w:gridCol w:w="510"/>
        <w:gridCol w:w="645"/>
        <w:gridCol w:w="60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9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5760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5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总计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55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5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总计</w:t>
            </w:r>
          </w:p>
        </w:tc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5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1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5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5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</w:tbl>
    <w:p>
      <w:pPr>
        <w:spacing w:line="560" w:lineRule="exact"/>
        <w:rPr>
          <w:rFonts w:ascii="黑体" w:hAnsi="宋体" w:eastAsia="黑体" w:cs="宋体"/>
          <w:spacing w:val="8"/>
          <w:kern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ascii="仿宋_GB2312" w:hAnsi="Times New Roman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  <w:t>（一）主要问题</w:t>
      </w:r>
      <w:r>
        <w:rPr>
          <w:rStyle w:val="9"/>
          <w:rFonts w:hint="eastAsia" w:ascii="仿宋_GB2312" w:hAnsi="Times New Roman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Style w:val="9"/>
          <w:rFonts w:hint="eastAsia" w:ascii="仿宋_GB2312" w:hAnsi="Times New Roman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依申请公开来件数量日趋增多，申请行政复议和行政诉讼件大幅增加，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依申请公开的时效性有待提升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工作人员</w:t>
      </w:r>
      <w:r>
        <w:rPr>
          <w:rStyle w:val="9"/>
          <w:rFonts w:hint="eastAsia" w:ascii="仿宋_GB2312" w:hAnsi="Times New Roman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对政务公开政策把握还不够全面，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工作水平有待提升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Style w:val="9"/>
          <w:rFonts w:hint="eastAsia" w:ascii="仿宋_GB2312" w:hAnsi="Times New Roman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  <w:t>（二）改进情况</w:t>
      </w:r>
      <w:r>
        <w:rPr>
          <w:rStyle w:val="9"/>
          <w:rFonts w:hint="eastAsia" w:ascii="仿宋_GB2312" w:hAnsi="Times New Roman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加强人员培训，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组织人员学习政府信息公开相关文件精神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Style w:val="9"/>
          <w:rFonts w:hint="eastAsia" w:ascii="仿宋_GB2312" w:hAnsi="Times New Roman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选拔服务热情高、业务能力强干部做好依申请公开答复工作，切实提高信息公开服务水准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六、</w:t>
      </w:r>
      <w:r>
        <w:rPr>
          <w:rFonts w:hint="eastAsia" w:ascii="黑体" w:eastAsia="黑体"/>
          <w:sz w:val="32"/>
          <w:szCs w:val="32"/>
        </w:rPr>
        <w:t>其他需要报告</w:t>
      </w:r>
      <w:r>
        <w:rPr>
          <w:rFonts w:hint="eastAsia" w:ascii="黑体" w:eastAsia="黑体"/>
          <w:sz w:val="32"/>
          <w:szCs w:val="32"/>
          <w:lang w:eastAsia="zh-CN"/>
        </w:rPr>
        <w:t>的</w:t>
      </w:r>
      <w:r>
        <w:rPr>
          <w:rFonts w:hint="eastAsia" w:ascii="黑体" w:eastAsia="黑体"/>
          <w:sz w:val="32"/>
          <w:szCs w:val="32"/>
        </w:rPr>
        <w:t>事项</w:t>
      </w:r>
    </w:p>
    <w:p>
      <w:pPr>
        <w:ind w:left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2024年依申请公开信息未收取信息处理费。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27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01FA6"/>
    <w:multiLevelType w:val="singleLevel"/>
    <w:tmpl w:val="FFC01FA6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842E28"/>
    <w:multiLevelType w:val="multilevel"/>
    <w:tmpl w:val="78842E28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9D72A5D"/>
    <w:rsid w:val="0001032C"/>
    <w:rsid w:val="00045B27"/>
    <w:rsid w:val="00072304"/>
    <w:rsid w:val="000766B0"/>
    <w:rsid w:val="000B5B19"/>
    <w:rsid w:val="000D4DEB"/>
    <w:rsid w:val="00101E42"/>
    <w:rsid w:val="001664FB"/>
    <w:rsid w:val="0018585C"/>
    <w:rsid w:val="001B395F"/>
    <w:rsid w:val="002B3628"/>
    <w:rsid w:val="003B1487"/>
    <w:rsid w:val="003E33B5"/>
    <w:rsid w:val="004462D6"/>
    <w:rsid w:val="004E7A10"/>
    <w:rsid w:val="00536E57"/>
    <w:rsid w:val="00583A30"/>
    <w:rsid w:val="005C2A21"/>
    <w:rsid w:val="0067320C"/>
    <w:rsid w:val="006F7BAC"/>
    <w:rsid w:val="00706872"/>
    <w:rsid w:val="00784273"/>
    <w:rsid w:val="00797438"/>
    <w:rsid w:val="007A5FF9"/>
    <w:rsid w:val="007C2FC3"/>
    <w:rsid w:val="008635CD"/>
    <w:rsid w:val="008B2213"/>
    <w:rsid w:val="008B4B07"/>
    <w:rsid w:val="008B7A84"/>
    <w:rsid w:val="008D4EEB"/>
    <w:rsid w:val="009114B0"/>
    <w:rsid w:val="0091505D"/>
    <w:rsid w:val="00953C0A"/>
    <w:rsid w:val="00997A6F"/>
    <w:rsid w:val="00A422D3"/>
    <w:rsid w:val="00A52790"/>
    <w:rsid w:val="00A6369F"/>
    <w:rsid w:val="00A82D8D"/>
    <w:rsid w:val="00AB1DD9"/>
    <w:rsid w:val="00AE488B"/>
    <w:rsid w:val="00B20238"/>
    <w:rsid w:val="00B36AF9"/>
    <w:rsid w:val="00B37BC9"/>
    <w:rsid w:val="00B501B1"/>
    <w:rsid w:val="00B72209"/>
    <w:rsid w:val="00B81A1A"/>
    <w:rsid w:val="00B850B1"/>
    <w:rsid w:val="00BF6B44"/>
    <w:rsid w:val="00C94DBF"/>
    <w:rsid w:val="00CD21A5"/>
    <w:rsid w:val="00D17435"/>
    <w:rsid w:val="00DC243D"/>
    <w:rsid w:val="00DE1A60"/>
    <w:rsid w:val="00E20660"/>
    <w:rsid w:val="00E34E7E"/>
    <w:rsid w:val="00E37739"/>
    <w:rsid w:val="00E506EA"/>
    <w:rsid w:val="00E50F1E"/>
    <w:rsid w:val="00EA29EE"/>
    <w:rsid w:val="00EC2BDD"/>
    <w:rsid w:val="00F47151"/>
    <w:rsid w:val="00FC37F3"/>
    <w:rsid w:val="075FEE70"/>
    <w:rsid w:val="07AF84B7"/>
    <w:rsid w:val="16924B1C"/>
    <w:rsid w:val="1D9EFB91"/>
    <w:rsid w:val="28234104"/>
    <w:rsid w:val="2B7D8FC2"/>
    <w:rsid w:val="2BD7EB8E"/>
    <w:rsid w:val="2FEF732C"/>
    <w:rsid w:val="2FF656E0"/>
    <w:rsid w:val="39D72A5D"/>
    <w:rsid w:val="3DFF8244"/>
    <w:rsid w:val="3ED405C6"/>
    <w:rsid w:val="3F9B1B74"/>
    <w:rsid w:val="3FEE6E9E"/>
    <w:rsid w:val="3FEEAB1C"/>
    <w:rsid w:val="3FEEC806"/>
    <w:rsid w:val="4A3B1D56"/>
    <w:rsid w:val="4E83093B"/>
    <w:rsid w:val="4EDFB6F5"/>
    <w:rsid w:val="4FF3BFAB"/>
    <w:rsid w:val="55BE3597"/>
    <w:rsid w:val="56FD78AA"/>
    <w:rsid w:val="59F92360"/>
    <w:rsid w:val="5BFBC4A6"/>
    <w:rsid w:val="5D7B89A8"/>
    <w:rsid w:val="64495723"/>
    <w:rsid w:val="6EDDB8A5"/>
    <w:rsid w:val="6FBB6BAB"/>
    <w:rsid w:val="72D6F054"/>
    <w:rsid w:val="72FF0E86"/>
    <w:rsid w:val="747FDA9D"/>
    <w:rsid w:val="75FE4606"/>
    <w:rsid w:val="763BE37E"/>
    <w:rsid w:val="76BEDA1F"/>
    <w:rsid w:val="77F2D23C"/>
    <w:rsid w:val="77FEFDAC"/>
    <w:rsid w:val="795FE9AF"/>
    <w:rsid w:val="7AF9CCE5"/>
    <w:rsid w:val="7AFF6698"/>
    <w:rsid w:val="7BDA0C5B"/>
    <w:rsid w:val="7BFF85ED"/>
    <w:rsid w:val="7CAD9A33"/>
    <w:rsid w:val="7CB7B057"/>
    <w:rsid w:val="7D7DDDCC"/>
    <w:rsid w:val="7E2F0A2E"/>
    <w:rsid w:val="7E7AAE98"/>
    <w:rsid w:val="7E9BD26E"/>
    <w:rsid w:val="7F5D9CC2"/>
    <w:rsid w:val="7FBB0A21"/>
    <w:rsid w:val="7FBF125A"/>
    <w:rsid w:val="7FC7F428"/>
    <w:rsid w:val="7FD77667"/>
    <w:rsid w:val="7FDB92A3"/>
    <w:rsid w:val="7FDE2CEF"/>
    <w:rsid w:val="7FFDAC62"/>
    <w:rsid w:val="98CA6E8C"/>
    <w:rsid w:val="9DFF0C64"/>
    <w:rsid w:val="9FE82E8D"/>
    <w:rsid w:val="ACF52357"/>
    <w:rsid w:val="AEBF94B1"/>
    <w:rsid w:val="AEFB77E2"/>
    <w:rsid w:val="B705BD5C"/>
    <w:rsid w:val="BA7B23C6"/>
    <w:rsid w:val="BBEF48F5"/>
    <w:rsid w:val="BF4ECA8C"/>
    <w:rsid w:val="BFE7AC07"/>
    <w:rsid w:val="CF278700"/>
    <w:rsid w:val="CFFFA488"/>
    <w:rsid w:val="D77EBED9"/>
    <w:rsid w:val="D95E2BC0"/>
    <w:rsid w:val="DE5FB3F6"/>
    <w:rsid w:val="DF9F937E"/>
    <w:rsid w:val="E5AFBE10"/>
    <w:rsid w:val="E7EB55C1"/>
    <w:rsid w:val="EAEE6023"/>
    <w:rsid w:val="ED2F2F10"/>
    <w:rsid w:val="EDFF8571"/>
    <w:rsid w:val="EEEA9931"/>
    <w:rsid w:val="EF6BD5EF"/>
    <w:rsid w:val="EFBE7FD5"/>
    <w:rsid w:val="EFD35F79"/>
    <w:rsid w:val="F7273534"/>
    <w:rsid w:val="F77F624B"/>
    <w:rsid w:val="F7BDEF7F"/>
    <w:rsid w:val="F9DAA526"/>
    <w:rsid w:val="FB2F16D2"/>
    <w:rsid w:val="FBDF3DFC"/>
    <w:rsid w:val="FBFA4857"/>
    <w:rsid w:val="FBFBDDFC"/>
    <w:rsid w:val="FCBB8A12"/>
    <w:rsid w:val="FD7F5F87"/>
    <w:rsid w:val="FD9FBBB9"/>
    <w:rsid w:val="FECC0D10"/>
    <w:rsid w:val="FEFF3470"/>
    <w:rsid w:val="FF666EE8"/>
    <w:rsid w:val="FFBF1604"/>
    <w:rsid w:val="FFC5D50F"/>
    <w:rsid w:val="FFFC53B5"/>
    <w:rsid w:val="FFFF2479"/>
    <w:rsid w:val="FFFF5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508</Words>
  <Characters>2899</Characters>
  <Lines>24</Lines>
  <Paragraphs>6</Paragraphs>
  <TotalTime>17</TotalTime>
  <ScaleCrop>false</ScaleCrop>
  <LinksUpToDate>false</LinksUpToDate>
  <CharactersWithSpaces>3401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2020-01-26T02:31:00Z</dcterms:created>
  <dc:creator>完美宝贝1410176350</dc:creator>
  <cp:lastModifiedBy>uos</cp:lastModifiedBy>
  <cp:lastPrinted>2025-01-20T22:09:00Z</cp:lastPrinted>
  <dcterms:modified xsi:type="dcterms:W3CDTF">2025-01-20T16:17:20Z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